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8B382" w14:textId="77777777" w:rsidR="00B470C8" w:rsidRDefault="00705157" w:rsidP="00705157">
      <w:pPr>
        <w:jc w:val="center"/>
      </w:pPr>
      <w:r>
        <w:rPr>
          <w:noProof/>
        </w:rPr>
        <w:drawing>
          <wp:inline distT="0" distB="0" distL="0" distR="0" wp14:anchorId="55CEE3E1" wp14:editId="7D090580">
            <wp:extent cx="2400300" cy="986534"/>
            <wp:effectExtent l="19050" t="0" r="0" b="0"/>
            <wp:docPr id="1" name="Picture 0" descr="rtf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f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57" cy="99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B340D" w14:textId="77777777" w:rsidR="00705157" w:rsidRDefault="00705157" w:rsidP="00705157">
      <w:pPr>
        <w:jc w:val="center"/>
      </w:pPr>
    </w:p>
    <w:p w14:paraId="2B304F3A" w14:textId="7BFDEC8A" w:rsidR="00A30D42" w:rsidRDefault="00705157" w:rsidP="00641CF0">
      <w:pPr>
        <w:jc w:val="center"/>
        <w:rPr>
          <w:rFonts w:asciiTheme="majorHAnsi" w:hAnsiTheme="majorHAnsi"/>
          <w:b/>
          <w:smallCaps/>
          <w:color w:val="266659"/>
          <w:sz w:val="42"/>
          <w:szCs w:val="42"/>
        </w:rPr>
      </w:pPr>
      <w:r>
        <w:rPr>
          <w:rFonts w:asciiTheme="majorHAnsi" w:hAnsiTheme="majorHAnsi"/>
          <w:b/>
          <w:smallCaps/>
          <w:color w:val="266659"/>
          <w:sz w:val="42"/>
          <w:szCs w:val="42"/>
        </w:rPr>
        <w:t>Research Strategy</w:t>
      </w:r>
      <w:r w:rsidR="009E0F11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:  </w:t>
      </w:r>
      <w:r w:rsidR="005E5AAF">
        <w:rPr>
          <w:rFonts w:asciiTheme="majorHAnsi" w:hAnsiTheme="majorHAnsi"/>
          <w:b/>
          <w:smallCaps/>
          <w:color w:val="266659"/>
          <w:sz w:val="42"/>
          <w:szCs w:val="42"/>
        </w:rPr>
        <w:t>Electronic Thermostats</w:t>
      </w:r>
      <w:r w:rsidR="007E5B15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 for</w:t>
      </w:r>
      <w:r w:rsidR="009E0F11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 </w:t>
      </w:r>
      <w:r w:rsidR="00E90BCE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Residential </w:t>
      </w:r>
      <w:r w:rsidR="00641CF0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Applications with </w:t>
      </w:r>
      <w:r w:rsidR="00E90BCE" w:rsidRPr="00E90BCE">
        <w:rPr>
          <w:rFonts w:asciiTheme="majorHAnsi" w:hAnsiTheme="majorHAnsi"/>
          <w:b/>
          <w:i/>
          <w:smallCaps/>
          <w:color w:val="266659"/>
          <w:sz w:val="42"/>
          <w:szCs w:val="42"/>
        </w:rPr>
        <w:t>Known</w:t>
      </w:r>
      <w:r w:rsidR="00E90BCE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 Measure Characteristics</w:t>
      </w:r>
      <w:r w:rsidR="00A30D42">
        <w:rPr>
          <w:rFonts w:asciiTheme="majorHAnsi" w:hAnsiTheme="majorHAnsi"/>
          <w:b/>
          <w:smallCaps/>
          <w:color w:val="266659"/>
          <w:sz w:val="42"/>
          <w:szCs w:val="42"/>
        </w:rPr>
        <w:t xml:space="preserve"> </w:t>
      </w:r>
    </w:p>
    <w:p w14:paraId="6866819B" w14:textId="4B58A830" w:rsidR="00705157" w:rsidRDefault="00166DB1" w:rsidP="00705157">
      <w:pPr>
        <w:jc w:val="center"/>
        <w:rPr>
          <w:rFonts w:asciiTheme="majorHAnsi" w:hAnsiTheme="majorHAnsi"/>
          <w:b/>
          <w:smallCaps/>
          <w:color w:val="FF0000"/>
          <w:sz w:val="42"/>
          <w:szCs w:val="42"/>
        </w:rPr>
      </w:pPr>
      <w:r>
        <w:rPr>
          <w:rFonts w:asciiTheme="majorHAnsi" w:hAnsiTheme="majorHAnsi"/>
          <w:b/>
          <w:smallCaps/>
          <w:color w:val="FF0000"/>
          <w:sz w:val="42"/>
          <w:szCs w:val="42"/>
        </w:rPr>
        <w:t xml:space="preserve">Proposal </w:t>
      </w:r>
      <w:r w:rsidR="00446281">
        <w:rPr>
          <w:rFonts w:asciiTheme="majorHAnsi" w:hAnsiTheme="majorHAnsi"/>
          <w:b/>
          <w:smallCaps/>
          <w:color w:val="FF0000"/>
          <w:sz w:val="42"/>
          <w:szCs w:val="42"/>
        </w:rPr>
        <w:t xml:space="preserve">Date:  </w:t>
      </w:r>
      <w:r w:rsidR="00B553F1">
        <w:rPr>
          <w:rFonts w:asciiTheme="majorHAnsi" w:hAnsiTheme="majorHAnsi"/>
          <w:b/>
          <w:smallCaps/>
          <w:color w:val="FF0000"/>
          <w:sz w:val="42"/>
          <w:szCs w:val="42"/>
        </w:rPr>
        <w:t>June</w:t>
      </w:r>
      <w:r w:rsidR="006646EC" w:rsidRPr="006646EC">
        <w:rPr>
          <w:rFonts w:asciiTheme="majorHAnsi" w:hAnsiTheme="majorHAnsi"/>
          <w:b/>
          <w:smallCaps/>
          <w:color w:val="FF0000"/>
          <w:sz w:val="42"/>
          <w:szCs w:val="42"/>
        </w:rPr>
        <w:t xml:space="preserve">, </w:t>
      </w:r>
      <w:r w:rsidR="00A95BAE" w:rsidRPr="006646EC">
        <w:rPr>
          <w:rFonts w:asciiTheme="majorHAnsi" w:hAnsiTheme="majorHAnsi"/>
          <w:b/>
          <w:smallCaps/>
          <w:color w:val="FF0000"/>
          <w:sz w:val="42"/>
          <w:szCs w:val="42"/>
        </w:rPr>
        <w:t>201</w:t>
      </w:r>
      <w:r w:rsidR="00D74F58" w:rsidRPr="006646EC">
        <w:rPr>
          <w:rFonts w:asciiTheme="majorHAnsi" w:hAnsiTheme="majorHAnsi"/>
          <w:b/>
          <w:smallCaps/>
          <w:color w:val="FF0000"/>
          <w:sz w:val="42"/>
          <w:szCs w:val="42"/>
        </w:rPr>
        <w:t>6</w:t>
      </w:r>
    </w:p>
    <w:p w14:paraId="3F8703A8" w14:textId="77777777" w:rsidR="00705157" w:rsidRPr="009E0F11" w:rsidRDefault="00705157" w:rsidP="00705157">
      <w:pPr>
        <w:jc w:val="center"/>
        <w:rPr>
          <w:rFonts w:asciiTheme="majorHAnsi" w:hAnsiTheme="majorHAnsi"/>
          <w:b/>
          <w:smallCaps/>
          <w:color w:val="266659"/>
          <w:sz w:val="40"/>
          <w:szCs w:val="42"/>
        </w:rPr>
      </w:pPr>
    </w:p>
    <w:p w14:paraId="39A41089" w14:textId="337A4235" w:rsidR="0035171D" w:rsidRPr="00705157" w:rsidRDefault="006831D0" w:rsidP="00705157">
      <w:pPr>
        <w:rPr>
          <w:rFonts w:asciiTheme="majorHAnsi" w:hAnsiTheme="majorHAnsi"/>
          <w:b/>
          <w:smallCaps/>
          <w:color w:val="266659"/>
          <w:sz w:val="36"/>
          <w:szCs w:val="36"/>
        </w:rPr>
      </w:pPr>
      <w:r>
        <w:rPr>
          <w:rFonts w:asciiTheme="majorHAnsi" w:hAnsiTheme="majorHAnsi"/>
          <w:b/>
          <w:smallCaps/>
          <w:color w:val="266659"/>
          <w:sz w:val="36"/>
          <w:szCs w:val="36"/>
        </w:rPr>
        <w:t>1. Introduction</w:t>
      </w:r>
    </w:p>
    <w:p w14:paraId="668687EA" w14:textId="57685C9F" w:rsidR="00AF540D" w:rsidRDefault="00CE40E6" w:rsidP="00CE40E6">
      <w:pPr>
        <w:spacing w:after="120"/>
        <w:rPr>
          <w:rFonts w:asciiTheme="minorHAnsi" w:hAnsiTheme="minorHAnsi"/>
        </w:rPr>
      </w:pPr>
      <w:r w:rsidRPr="00500196">
        <w:rPr>
          <w:rFonts w:asciiTheme="minorHAnsi" w:hAnsiTheme="minorHAnsi"/>
        </w:rPr>
        <w:t>This document describes research needed to support RTF-Proven savings values for</w:t>
      </w:r>
      <w:r w:rsidR="0066480D">
        <w:rPr>
          <w:rFonts w:asciiTheme="minorHAnsi" w:hAnsiTheme="minorHAnsi"/>
        </w:rPr>
        <w:t xml:space="preserve"> </w:t>
      </w:r>
      <w:r w:rsidR="005E5AAF">
        <w:rPr>
          <w:rFonts w:asciiTheme="minorHAnsi" w:hAnsiTheme="minorHAnsi"/>
        </w:rPr>
        <w:t xml:space="preserve">electronic </w:t>
      </w:r>
      <w:r w:rsidR="001F066A">
        <w:rPr>
          <w:rFonts w:asciiTheme="minorHAnsi" w:hAnsiTheme="minorHAnsi"/>
        </w:rPr>
        <w:t xml:space="preserve">line-voltage </w:t>
      </w:r>
      <w:r w:rsidR="005E5AAF">
        <w:rPr>
          <w:rFonts w:asciiTheme="minorHAnsi" w:hAnsiTheme="minorHAnsi"/>
        </w:rPr>
        <w:t>thermostats</w:t>
      </w:r>
      <w:r w:rsidR="00C74D08">
        <w:rPr>
          <w:rFonts w:asciiTheme="minorHAnsi" w:hAnsiTheme="minorHAnsi"/>
        </w:rPr>
        <w:t xml:space="preserve"> in applications where baseline thermostat, heating system, and building type are known</w:t>
      </w:r>
      <w:r w:rsidR="00AF540D">
        <w:rPr>
          <w:rFonts w:asciiTheme="minorHAnsi" w:hAnsiTheme="minorHAnsi"/>
        </w:rPr>
        <w:t xml:space="preserve">. </w:t>
      </w:r>
      <w:r w:rsidR="001F066A">
        <w:rPr>
          <w:rFonts w:asciiTheme="minorHAnsi" w:hAnsiTheme="minorHAnsi"/>
        </w:rPr>
        <w:t>This measure applies to single-family</w:t>
      </w:r>
      <w:r w:rsidR="0066480D">
        <w:rPr>
          <w:rFonts w:asciiTheme="minorHAnsi" w:hAnsiTheme="minorHAnsi"/>
        </w:rPr>
        <w:t xml:space="preserve"> </w:t>
      </w:r>
      <w:r w:rsidR="001F066A">
        <w:rPr>
          <w:rFonts w:asciiTheme="minorHAnsi" w:hAnsiTheme="minorHAnsi"/>
        </w:rPr>
        <w:t>and</w:t>
      </w:r>
      <w:r w:rsidR="0066480D">
        <w:rPr>
          <w:rFonts w:asciiTheme="minorHAnsi" w:hAnsiTheme="minorHAnsi"/>
        </w:rPr>
        <w:t xml:space="preserve"> m</w:t>
      </w:r>
      <w:r w:rsidR="00830522">
        <w:rPr>
          <w:rFonts w:asciiTheme="minorHAnsi" w:hAnsiTheme="minorHAnsi"/>
        </w:rPr>
        <w:t>ulti</w:t>
      </w:r>
      <w:r w:rsidR="001F066A">
        <w:rPr>
          <w:rFonts w:asciiTheme="minorHAnsi" w:hAnsiTheme="minorHAnsi"/>
        </w:rPr>
        <w:t>-family homes with either zonal-electric or zonal-electric plus DHP heat</w:t>
      </w:r>
      <w:r w:rsidR="00830522">
        <w:rPr>
          <w:rFonts w:asciiTheme="minorHAnsi" w:hAnsiTheme="minorHAnsi"/>
        </w:rPr>
        <w:t xml:space="preserve">. </w:t>
      </w:r>
      <w:r w:rsidR="00ED0126">
        <w:rPr>
          <w:rFonts w:asciiTheme="minorHAnsi" w:hAnsiTheme="minorHAnsi"/>
        </w:rPr>
        <w:t>A separate Research Strategy describes activities</w:t>
      </w:r>
      <w:r w:rsidR="00C74D08">
        <w:rPr>
          <w:rFonts w:asciiTheme="minorHAnsi" w:hAnsiTheme="minorHAnsi"/>
        </w:rPr>
        <w:t xml:space="preserve"> needed to estimate</w:t>
      </w:r>
      <w:r w:rsidR="00ED0126">
        <w:rPr>
          <w:rFonts w:asciiTheme="minorHAnsi" w:hAnsiTheme="minorHAnsi"/>
        </w:rPr>
        <w:t xml:space="preserve"> proven-worthy </w:t>
      </w:r>
      <w:r w:rsidR="00C74D08">
        <w:rPr>
          <w:rFonts w:asciiTheme="minorHAnsi" w:hAnsiTheme="minorHAnsi"/>
        </w:rPr>
        <w:t>mix</w:t>
      </w:r>
      <w:r w:rsidR="00ED0126">
        <w:rPr>
          <w:rFonts w:asciiTheme="minorHAnsi" w:hAnsiTheme="minorHAnsi"/>
        </w:rPr>
        <w:t>es</w:t>
      </w:r>
      <w:r w:rsidR="00C74D08">
        <w:rPr>
          <w:rFonts w:asciiTheme="minorHAnsi" w:hAnsiTheme="minorHAnsi"/>
        </w:rPr>
        <w:t xml:space="preserve"> of measure identifiers </w:t>
      </w:r>
      <w:r w:rsidR="00ED0126">
        <w:rPr>
          <w:rFonts w:asciiTheme="minorHAnsi" w:hAnsiTheme="minorHAnsi"/>
        </w:rPr>
        <w:t>for</w:t>
      </w:r>
      <w:r w:rsidR="00C74D08">
        <w:rPr>
          <w:rFonts w:asciiTheme="minorHAnsi" w:hAnsiTheme="minorHAnsi"/>
        </w:rPr>
        <w:t xml:space="preserve"> </w:t>
      </w:r>
      <w:r w:rsidR="00ED0126">
        <w:rPr>
          <w:rFonts w:asciiTheme="minorHAnsi" w:hAnsiTheme="minorHAnsi"/>
        </w:rPr>
        <w:t>cases where building type, heating system, or baseline thermostat are unknown</w:t>
      </w:r>
      <w:r w:rsidR="00AF540D">
        <w:rPr>
          <w:rFonts w:asciiTheme="minorHAnsi" w:hAnsiTheme="minorHAnsi"/>
        </w:rPr>
        <w:t>.</w:t>
      </w:r>
    </w:p>
    <w:p w14:paraId="23938C62" w14:textId="77777777" w:rsidR="00AF540D" w:rsidRDefault="00D33C7C" w:rsidP="00373746">
      <w:pPr>
        <w:spacing w:after="120"/>
        <w:rPr>
          <w:rFonts w:asciiTheme="minorHAnsi" w:hAnsiTheme="minorHAnsi"/>
        </w:rPr>
      </w:pPr>
      <w:r w:rsidRPr="00500196">
        <w:rPr>
          <w:rFonts w:asciiTheme="minorHAnsi" w:hAnsiTheme="minorHAnsi"/>
        </w:rPr>
        <w:t>Research is needed because the RTF currently does not have sufficient data to reliably estimate average energy sa</w:t>
      </w:r>
      <w:r w:rsidR="001F066A">
        <w:rPr>
          <w:rFonts w:asciiTheme="minorHAnsi" w:hAnsiTheme="minorHAnsi"/>
        </w:rPr>
        <w:t>vings for this measure</w:t>
      </w:r>
      <w:r w:rsidR="00AF540D">
        <w:rPr>
          <w:rFonts w:asciiTheme="minorHAnsi" w:hAnsiTheme="minorHAnsi"/>
        </w:rPr>
        <w:t xml:space="preserve">. </w:t>
      </w:r>
      <w:r w:rsidR="00446760">
        <w:rPr>
          <w:rFonts w:asciiTheme="minorHAnsi" w:hAnsiTheme="minorHAnsi"/>
        </w:rPr>
        <w:t>Previous studies</w:t>
      </w:r>
      <w:r w:rsidR="00446760">
        <w:rPr>
          <w:rStyle w:val="FootnoteReference"/>
          <w:rFonts w:asciiTheme="minorHAnsi" w:hAnsiTheme="minorHAnsi"/>
        </w:rPr>
        <w:footnoteReference w:id="1"/>
      </w:r>
      <w:r w:rsidR="00446760">
        <w:rPr>
          <w:rFonts w:asciiTheme="minorHAnsi" w:hAnsiTheme="minorHAnsi"/>
        </w:rPr>
        <w:t xml:space="preserve"> for Eugene Water and Electric Board</w:t>
      </w:r>
      <w:r w:rsidR="00B87BA0">
        <w:rPr>
          <w:rFonts w:asciiTheme="minorHAnsi" w:hAnsiTheme="minorHAnsi"/>
        </w:rPr>
        <w:t xml:space="preserve"> (EWEB)</w:t>
      </w:r>
      <w:r w:rsidR="00446760">
        <w:rPr>
          <w:rFonts w:asciiTheme="minorHAnsi" w:hAnsiTheme="minorHAnsi"/>
        </w:rPr>
        <w:t>, Hydro Quebec, Northeast Utilities, and others provide significant insight into the measur</w:t>
      </w:r>
      <w:bookmarkStart w:id="0" w:name="_GoBack"/>
      <w:bookmarkEnd w:id="0"/>
      <w:r w:rsidR="00446760">
        <w:rPr>
          <w:rFonts w:asciiTheme="minorHAnsi" w:hAnsiTheme="minorHAnsi"/>
        </w:rPr>
        <w:t>e, but the</w:t>
      </w:r>
      <w:r w:rsidR="009A0DD3">
        <w:rPr>
          <w:rFonts w:asciiTheme="minorHAnsi" w:hAnsiTheme="minorHAnsi"/>
        </w:rPr>
        <w:t>se studies</w:t>
      </w:r>
      <w:r w:rsidR="00446760">
        <w:rPr>
          <w:rFonts w:asciiTheme="minorHAnsi" w:hAnsiTheme="minorHAnsi"/>
        </w:rPr>
        <w:t xml:space="preserve"> </w:t>
      </w:r>
      <w:r w:rsidR="009A0DD3">
        <w:rPr>
          <w:rFonts w:asciiTheme="minorHAnsi" w:hAnsiTheme="minorHAnsi"/>
        </w:rPr>
        <w:t>all</w:t>
      </w:r>
      <w:r w:rsidR="00446760">
        <w:rPr>
          <w:rFonts w:asciiTheme="minorHAnsi" w:hAnsiTheme="minorHAnsi"/>
        </w:rPr>
        <w:t xml:space="preserve"> have limited precision and/or applicability to our region</w:t>
      </w:r>
      <w:r w:rsidR="00AF540D">
        <w:rPr>
          <w:rFonts w:asciiTheme="minorHAnsi" w:hAnsiTheme="minorHAnsi"/>
        </w:rPr>
        <w:t>.</w:t>
      </w:r>
    </w:p>
    <w:p w14:paraId="757544DC" w14:textId="5218FC4A" w:rsidR="00705157" w:rsidRPr="002C7DCD" w:rsidRDefault="00705157" w:rsidP="00705157">
      <w:pPr>
        <w:rPr>
          <w:rFonts w:asciiTheme="majorHAnsi" w:hAnsiTheme="majorHAnsi"/>
          <w:b/>
          <w:smallCaps/>
          <w:color w:val="266659"/>
          <w:sz w:val="36"/>
          <w:szCs w:val="36"/>
        </w:rPr>
      </w:pPr>
      <w:r w:rsidRPr="00705157">
        <w:rPr>
          <w:rFonts w:asciiTheme="majorHAnsi" w:hAnsiTheme="majorHAnsi"/>
          <w:b/>
          <w:smallCaps/>
          <w:color w:val="266659"/>
          <w:sz w:val="36"/>
          <w:szCs w:val="36"/>
        </w:rPr>
        <w:t xml:space="preserve">2. Research </w:t>
      </w:r>
      <w:r w:rsidR="0010040A">
        <w:rPr>
          <w:rFonts w:asciiTheme="majorHAnsi" w:hAnsiTheme="majorHAnsi"/>
          <w:b/>
          <w:smallCaps/>
          <w:color w:val="266659"/>
          <w:sz w:val="36"/>
          <w:szCs w:val="36"/>
        </w:rPr>
        <w:t>Objectives</w:t>
      </w:r>
    </w:p>
    <w:p w14:paraId="5A398246" w14:textId="5643EE61" w:rsidR="00AF540D" w:rsidRDefault="007E1CB9" w:rsidP="00FA73C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obtain proven-worthy savings estimates for this measure, the </w:t>
      </w:r>
      <w:r w:rsidRPr="00151FD9">
        <w:rPr>
          <w:rFonts w:asciiTheme="minorHAnsi" w:hAnsiTheme="minorHAnsi"/>
        </w:rPr>
        <w:t xml:space="preserve">RTF </w:t>
      </w:r>
      <w:r w:rsidR="009A0DD3">
        <w:rPr>
          <w:rFonts w:asciiTheme="minorHAnsi" w:hAnsiTheme="minorHAnsi"/>
        </w:rPr>
        <w:t>recommends</w:t>
      </w:r>
      <w:r>
        <w:rPr>
          <w:rFonts w:asciiTheme="minorHAnsi" w:hAnsiTheme="minorHAnsi"/>
        </w:rPr>
        <w:t xml:space="preserve"> </w:t>
      </w:r>
      <w:r w:rsidR="009A0DD3">
        <w:rPr>
          <w:rFonts w:asciiTheme="minorHAnsi" w:hAnsiTheme="minorHAnsi"/>
        </w:rPr>
        <w:t>a s</w:t>
      </w:r>
      <w:r w:rsidR="004C32CD">
        <w:rPr>
          <w:rFonts w:asciiTheme="minorHAnsi" w:hAnsiTheme="minorHAnsi"/>
        </w:rPr>
        <w:t xml:space="preserve">tudy based on pre/post data for a sample of </w:t>
      </w:r>
      <w:r w:rsidR="009425B1">
        <w:rPr>
          <w:rFonts w:asciiTheme="minorHAnsi" w:hAnsiTheme="minorHAnsi"/>
        </w:rPr>
        <w:t xml:space="preserve">zonal-electric-resistance </w:t>
      </w:r>
      <w:r w:rsidR="004C32CD">
        <w:rPr>
          <w:rFonts w:asciiTheme="minorHAnsi" w:hAnsiTheme="minorHAnsi"/>
        </w:rPr>
        <w:t>buildings that have undergone</w:t>
      </w:r>
      <w:r w:rsidR="009A0DD3">
        <w:rPr>
          <w:rFonts w:asciiTheme="minorHAnsi" w:hAnsiTheme="minorHAnsi"/>
        </w:rPr>
        <w:t xml:space="preserve"> whole-building thermostat retrofits </w:t>
      </w:r>
      <w:r w:rsidR="00FA73C1">
        <w:rPr>
          <w:rFonts w:asciiTheme="minorHAnsi" w:hAnsiTheme="minorHAnsi"/>
        </w:rPr>
        <w:t>plus a comparison sample</w:t>
      </w:r>
      <w:r w:rsidR="00AF540D">
        <w:rPr>
          <w:rFonts w:asciiTheme="minorHAnsi" w:hAnsiTheme="minorHAnsi"/>
        </w:rPr>
        <w:t xml:space="preserve">. </w:t>
      </w:r>
      <w:r w:rsidR="00B27597">
        <w:rPr>
          <w:rFonts w:asciiTheme="minorHAnsi" w:hAnsiTheme="minorHAnsi"/>
        </w:rPr>
        <w:t>Here, “whole building retrof</w:t>
      </w:r>
      <w:r w:rsidR="009E0F11">
        <w:rPr>
          <w:rFonts w:asciiTheme="minorHAnsi" w:hAnsiTheme="minorHAnsi"/>
        </w:rPr>
        <w:t>it” refers to cases where all, or nearly all</w:t>
      </w:r>
      <w:r w:rsidR="00FA73C1">
        <w:rPr>
          <w:rFonts w:asciiTheme="minorHAnsi" w:hAnsiTheme="minorHAnsi"/>
        </w:rPr>
        <w:t>,</w:t>
      </w:r>
      <w:r w:rsidR="00B27597">
        <w:rPr>
          <w:rFonts w:asciiTheme="minorHAnsi" w:hAnsiTheme="minorHAnsi"/>
        </w:rPr>
        <w:t xml:space="preserve"> existing thermostat</w:t>
      </w:r>
      <w:r w:rsidR="009E0F11">
        <w:rPr>
          <w:rFonts w:asciiTheme="minorHAnsi" w:hAnsiTheme="minorHAnsi"/>
        </w:rPr>
        <w:t>s are replaced with</w:t>
      </w:r>
      <w:r w:rsidR="00B27597">
        <w:rPr>
          <w:rFonts w:asciiTheme="minorHAnsi" w:hAnsiTheme="minorHAnsi"/>
        </w:rPr>
        <w:t xml:space="preserve"> electronic thermostat</w:t>
      </w:r>
      <w:r w:rsidR="009E0F11">
        <w:rPr>
          <w:rFonts w:asciiTheme="minorHAnsi" w:hAnsiTheme="minorHAnsi"/>
        </w:rPr>
        <w:t>s</w:t>
      </w:r>
      <w:r w:rsidR="00AF540D">
        <w:rPr>
          <w:rFonts w:asciiTheme="minorHAnsi" w:hAnsiTheme="minorHAnsi"/>
        </w:rPr>
        <w:t>.</w:t>
      </w:r>
    </w:p>
    <w:p w14:paraId="37E12498" w14:textId="0BAC6D20" w:rsidR="00AF540D" w:rsidRDefault="00B27597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The pri</w:t>
      </w:r>
      <w:r w:rsidR="00FA73C1">
        <w:rPr>
          <w:rFonts w:asciiTheme="minorHAnsi" w:hAnsiTheme="minorHAnsi"/>
        </w:rPr>
        <w:t>mary research objective is to e</w:t>
      </w:r>
      <w:r w:rsidR="000C633F" w:rsidRPr="00FA73C1">
        <w:rPr>
          <w:rFonts w:asciiTheme="minorHAnsi" w:hAnsiTheme="minorHAnsi"/>
        </w:rPr>
        <w:t>stimate</w:t>
      </w:r>
      <w:r w:rsidRPr="00FA73C1">
        <w:rPr>
          <w:rFonts w:asciiTheme="minorHAnsi" w:hAnsiTheme="minorHAnsi"/>
        </w:rPr>
        <w:t xml:space="preserve"> t</w:t>
      </w:r>
      <w:r w:rsidR="000C633F" w:rsidRPr="00FA73C1">
        <w:rPr>
          <w:rFonts w:asciiTheme="minorHAnsi" w:hAnsiTheme="minorHAnsi"/>
        </w:rPr>
        <w:t xml:space="preserve">he </w:t>
      </w:r>
      <w:r w:rsidR="004A5210" w:rsidRPr="00FA73C1">
        <w:rPr>
          <w:rFonts w:asciiTheme="minorHAnsi" w:hAnsiTheme="minorHAnsi"/>
        </w:rPr>
        <w:t>average</w:t>
      </w:r>
      <w:r w:rsidR="00A3407A" w:rsidRPr="00FA73C1">
        <w:rPr>
          <w:rFonts w:asciiTheme="minorHAnsi" w:hAnsiTheme="minorHAnsi"/>
        </w:rPr>
        <w:t xml:space="preserve"> savings</w:t>
      </w:r>
      <w:r w:rsidRPr="00FA73C1">
        <w:rPr>
          <w:rFonts w:asciiTheme="minorHAnsi" w:hAnsiTheme="minorHAnsi"/>
        </w:rPr>
        <w:t xml:space="preserve"> due to a whole-building retrofit</w:t>
      </w:r>
      <w:r w:rsidR="00A3407A" w:rsidRPr="00FA73C1">
        <w:rPr>
          <w:rFonts w:asciiTheme="minorHAnsi" w:hAnsiTheme="minorHAnsi"/>
        </w:rPr>
        <w:t>, as a percent of baseline</w:t>
      </w:r>
      <w:r w:rsidR="009E1DC2" w:rsidRPr="00FA73C1">
        <w:rPr>
          <w:rFonts w:asciiTheme="minorHAnsi" w:hAnsiTheme="minorHAnsi"/>
        </w:rPr>
        <w:t xml:space="preserve"> heating energy, with roughly 20</w:t>
      </w:r>
      <w:r w:rsidR="004A5210" w:rsidRPr="00FA73C1">
        <w:rPr>
          <w:rFonts w:asciiTheme="minorHAnsi" w:hAnsiTheme="minorHAnsi"/>
        </w:rPr>
        <w:t xml:space="preserve">% </w:t>
      </w:r>
      <w:r w:rsidRPr="00FA73C1">
        <w:rPr>
          <w:rFonts w:asciiTheme="minorHAnsi" w:hAnsiTheme="minorHAnsi"/>
        </w:rPr>
        <w:t xml:space="preserve">relative </w:t>
      </w:r>
      <w:r w:rsidR="004A5210" w:rsidRPr="00FA73C1">
        <w:rPr>
          <w:rFonts w:asciiTheme="minorHAnsi" w:hAnsiTheme="minorHAnsi"/>
        </w:rPr>
        <w:t>precision at the 90% confidence level</w:t>
      </w:r>
      <w:r w:rsidR="006D190B">
        <w:rPr>
          <w:rFonts w:asciiTheme="minorHAnsi" w:hAnsiTheme="minorHAnsi"/>
        </w:rPr>
        <w:t xml:space="preserve">. </w:t>
      </w:r>
      <w:r w:rsidR="00BD63BB">
        <w:rPr>
          <w:rFonts w:asciiTheme="minorHAnsi" w:hAnsiTheme="minorHAnsi"/>
        </w:rPr>
        <w:t xml:space="preserve">In addition to the </w:t>
      </w:r>
      <w:r w:rsidR="00E113C1">
        <w:rPr>
          <w:rFonts w:asciiTheme="minorHAnsi" w:hAnsiTheme="minorHAnsi"/>
        </w:rPr>
        <w:t xml:space="preserve">whole-building </w:t>
      </w:r>
      <w:r w:rsidR="00BD63BB">
        <w:rPr>
          <w:rFonts w:asciiTheme="minorHAnsi" w:hAnsiTheme="minorHAnsi"/>
        </w:rPr>
        <w:t>savings rate for the</w:t>
      </w:r>
      <w:r w:rsidR="00E113C1">
        <w:rPr>
          <w:rFonts w:asciiTheme="minorHAnsi" w:hAnsiTheme="minorHAnsi"/>
        </w:rPr>
        <w:t xml:space="preserve"> full</w:t>
      </w:r>
      <w:r w:rsidR="00BD63BB">
        <w:rPr>
          <w:rFonts w:asciiTheme="minorHAnsi" w:hAnsiTheme="minorHAnsi"/>
        </w:rPr>
        <w:t xml:space="preserve"> retrofit, researchers should also capture the number of thermostats replaced</w:t>
      </w:r>
      <w:r w:rsidR="002259ED">
        <w:rPr>
          <w:rFonts w:asciiTheme="minorHAnsi" w:hAnsiTheme="minorHAnsi"/>
        </w:rPr>
        <w:t xml:space="preserve"> in each building</w:t>
      </w:r>
      <w:r w:rsidR="00E113C1">
        <w:rPr>
          <w:rFonts w:asciiTheme="minorHAnsi" w:hAnsiTheme="minorHAnsi"/>
        </w:rPr>
        <w:t xml:space="preserve"> in order to estimate </w:t>
      </w:r>
      <w:r w:rsidR="00E113C1">
        <w:rPr>
          <w:rFonts w:asciiTheme="minorHAnsi" w:hAnsiTheme="minorHAnsi"/>
        </w:rPr>
        <w:lastRenderedPageBreak/>
        <w:t>the average savings per thermostat</w:t>
      </w:r>
      <w:r w:rsidR="00AF540D">
        <w:rPr>
          <w:rFonts w:asciiTheme="minorHAnsi" w:hAnsiTheme="minorHAnsi"/>
        </w:rPr>
        <w:t xml:space="preserve">. </w:t>
      </w:r>
      <w:r w:rsidR="006750D1" w:rsidRPr="00BB1C6E">
        <w:rPr>
          <w:rFonts w:asciiTheme="minorHAnsi" w:hAnsiTheme="minorHAnsi"/>
        </w:rPr>
        <w:t>The RTF expects to use SEEM models based on RBSA data to estimate base-case heating energy for different heating zones</w:t>
      </w:r>
      <w:r w:rsidR="009425B1">
        <w:rPr>
          <w:rFonts w:asciiTheme="minorHAnsi" w:hAnsiTheme="minorHAnsi"/>
        </w:rPr>
        <w:t xml:space="preserve"> and to estimate unit energy savings (UES) by multiplying base-case heating energy by the percent savings for a whole-building retrofit, and dividing by the typical number of thermostats</w:t>
      </w:r>
      <w:r w:rsidR="00AF540D">
        <w:rPr>
          <w:rFonts w:asciiTheme="minorHAnsi" w:hAnsiTheme="minorHAnsi"/>
        </w:rPr>
        <w:t xml:space="preserve">. </w:t>
      </w:r>
      <w:r w:rsidR="006750D1" w:rsidRPr="00BB1C6E">
        <w:rPr>
          <w:rFonts w:asciiTheme="minorHAnsi" w:hAnsiTheme="minorHAnsi"/>
        </w:rPr>
        <w:t>For homes with zonal + DHP heat, the RTF expects to estimate</w:t>
      </w:r>
      <w:r w:rsidR="009425B1">
        <w:rPr>
          <w:rFonts w:asciiTheme="minorHAnsi" w:hAnsiTheme="minorHAnsi"/>
        </w:rPr>
        <w:t xml:space="preserve"> the UES </w:t>
      </w:r>
      <w:r w:rsidR="006750D1" w:rsidRPr="00BB1C6E">
        <w:rPr>
          <w:rFonts w:asciiTheme="minorHAnsi" w:hAnsiTheme="minorHAnsi"/>
        </w:rPr>
        <w:t xml:space="preserve">by multiplying the zonal-electric </w:t>
      </w:r>
      <w:r w:rsidR="009425B1">
        <w:rPr>
          <w:rFonts w:asciiTheme="minorHAnsi" w:hAnsiTheme="minorHAnsi"/>
        </w:rPr>
        <w:t>UES</w:t>
      </w:r>
      <w:r w:rsidR="006750D1" w:rsidRPr="00BB1C6E">
        <w:rPr>
          <w:rFonts w:asciiTheme="minorHAnsi" w:hAnsiTheme="minorHAnsi"/>
        </w:rPr>
        <w:t xml:space="preserve"> by SEEM’s estimate of the portion of heating energy delivered by zonal-electric units</w:t>
      </w:r>
      <w:r w:rsidR="00AF540D">
        <w:rPr>
          <w:rFonts w:asciiTheme="minorHAnsi" w:hAnsiTheme="minorHAnsi"/>
        </w:rPr>
        <w:t>.</w:t>
      </w:r>
    </w:p>
    <w:p w14:paraId="20E64F15" w14:textId="6B47ADBD" w:rsidR="009425B1" w:rsidRDefault="009425B1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Research planners should assess whether average savings per thermostat is likely to vary significantly between single-family and multi-family homes; if building type is expected to have a large effect on unit savings, the study design should that into account.</w:t>
      </w:r>
    </w:p>
    <w:p w14:paraId="5C8E2983" w14:textId="4409BFE6" w:rsidR="00BB1C6E" w:rsidRDefault="00373746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E113C1">
        <w:rPr>
          <w:rFonts w:asciiTheme="minorHAnsi" w:hAnsiTheme="minorHAnsi"/>
        </w:rPr>
        <w:t xml:space="preserve"> following issues are closely related to this measure’</w:t>
      </w:r>
      <w:r w:rsidR="00BB1C6E">
        <w:rPr>
          <w:rFonts w:asciiTheme="minorHAnsi" w:hAnsiTheme="minorHAnsi"/>
        </w:rPr>
        <w:t>s savings but are not</w:t>
      </w:r>
      <w:r w:rsidR="00E113C1">
        <w:rPr>
          <w:rFonts w:asciiTheme="minorHAnsi" w:hAnsiTheme="minorHAnsi"/>
        </w:rPr>
        <w:t xml:space="preserve"> objectives</w:t>
      </w:r>
      <w:r w:rsidR="00BB1C6E">
        <w:rPr>
          <w:rFonts w:asciiTheme="minorHAnsi" w:hAnsiTheme="minorHAnsi"/>
        </w:rPr>
        <w:t xml:space="preserve"> for th</w:t>
      </w:r>
      <w:r w:rsidR="008D60F3">
        <w:rPr>
          <w:rFonts w:asciiTheme="minorHAnsi" w:hAnsiTheme="minorHAnsi"/>
        </w:rPr>
        <w:t>is</w:t>
      </w:r>
      <w:r w:rsidR="00BB1C6E">
        <w:rPr>
          <w:rFonts w:asciiTheme="minorHAnsi" w:hAnsiTheme="minorHAnsi"/>
        </w:rPr>
        <w:t xml:space="preserve"> Research Strategy:</w:t>
      </w:r>
    </w:p>
    <w:p w14:paraId="70B72AB2" w14:textId="293AE192" w:rsidR="00BB1C6E" w:rsidRDefault="00BB1C6E" w:rsidP="00BB1C6E">
      <w:pPr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Ductless heat pumps</w:t>
      </w:r>
      <w:r w:rsidR="00AF5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Although the presence of a DHP is expected to have a strong effect on this measure’s savings, the RTF does not recommend attempting to empirically estimate this effect because it would be difficult to obtain proven-worth precision and </w:t>
      </w:r>
      <w:r w:rsidR="009425B1">
        <w:rPr>
          <w:rFonts w:asciiTheme="minorHAnsi" w:hAnsiTheme="minorHAnsi"/>
        </w:rPr>
        <w:t xml:space="preserve">because </w:t>
      </w:r>
      <w:r>
        <w:rPr>
          <w:rFonts w:asciiTheme="minorHAnsi" w:hAnsiTheme="minorHAnsi"/>
        </w:rPr>
        <w:t>the DHP + zonal measure application is not expected to be cost-effective.</w:t>
      </w:r>
    </w:p>
    <w:p w14:paraId="353CC6BE" w14:textId="77777777" w:rsidR="00AF540D" w:rsidRDefault="00D715E9" w:rsidP="00BB1C6E">
      <w:pPr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Baseline heating energy</w:t>
      </w:r>
      <w:r w:rsidR="00AF5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 RTF does not currently need</w:t>
      </w:r>
      <w:r w:rsidR="00373746" w:rsidRPr="00BB1C6E">
        <w:rPr>
          <w:rFonts w:asciiTheme="minorHAnsi" w:hAnsiTheme="minorHAnsi"/>
        </w:rPr>
        <w:t xml:space="preserve"> additional primary research on baseline heating energy</w:t>
      </w:r>
      <w:r w:rsidR="00BB1C6E">
        <w:rPr>
          <w:rFonts w:asciiTheme="minorHAnsi" w:hAnsiTheme="minorHAnsi"/>
        </w:rPr>
        <w:t xml:space="preserve"> for single-family</w:t>
      </w:r>
      <w:r>
        <w:rPr>
          <w:rFonts w:asciiTheme="minorHAnsi" w:hAnsiTheme="minorHAnsi"/>
        </w:rPr>
        <w:t xml:space="preserve"> homes with zonal-electric heat</w:t>
      </w:r>
      <w:r w:rsidR="00AF540D">
        <w:rPr>
          <w:rFonts w:asciiTheme="minorHAnsi" w:hAnsiTheme="minorHAnsi"/>
        </w:rPr>
        <w:t xml:space="preserve">. </w:t>
      </w:r>
      <w:r w:rsidR="00317AFA">
        <w:rPr>
          <w:rFonts w:asciiTheme="minorHAnsi" w:hAnsiTheme="minorHAnsi"/>
        </w:rPr>
        <w:t xml:space="preserve">Research described in the </w:t>
      </w:r>
      <w:r w:rsidRPr="00317AFA">
        <w:rPr>
          <w:rFonts w:asciiTheme="minorHAnsi" w:hAnsiTheme="minorHAnsi"/>
          <w:i/>
        </w:rPr>
        <w:t xml:space="preserve">Research Strategy for Weatherization for Electric Resistance Multifamily Homes </w:t>
      </w:r>
      <w:r w:rsidR="00317AFA">
        <w:rPr>
          <w:rFonts w:asciiTheme="minorHAnsi" w:hAnsiTheme="minorHAnsi"/>
        </w:rPr>
        <w:t>is</w:t>
      </w:r>
      <w:r w:rsidR="003C0762">
        <w:rPr>
          <w:rFonts w:asciiTheme="minorHAnsi" w:hAnsiTheme="minorHAnsi"/>
        </w:rPr>
        <w:t xml:space="preserve"> expected to lead to</w:t>
      </w:r>
      <w:r w:rsidR="00317AFA">
        <w:rPr>
          <w:rFonts w:asciiTheme="minorHAnsi" w:hAnsiTheme="minorHAnsi"/>
        </w:rPr>
        <w:t xml:space="preserve"> </w:t>
      </w:r>
      <w:r w:rsidR="00317AFA" w:rsidRPr="00BB1C6E">
        <w:rPr>
          <w:rFonts w:asciiTheme="minorHAnsi" w:hAnsiTheme="minorHAnsi"/>
        </w:rPr>
        <w:t>baseline heating energy</w:t>
      </w:r>
      <w:r w:rsidR="00317AFA">
        <w:rPr>
          <w:rFonts w:asciiTheme="minorHAnsi" w:hAnsiTheme="minorHAnsi"/>
        </w:rPr>
        <w:t xml:space="preserve"> estimates that a</w:t>
      </w:r>
      <w:r w:rsidR="003C0762">
        <w:rPr>
          <w:rFonts w:asciiTheme="minorHAnsi" w:hAnsiTheme="minorHAnsi"/>
        </w:rPr>
        <w:t>re sufficiently reliable for this measure</w:t>
      </w:r>
      <w:r w:rsidR="00AF540D">
        <w:rPr>
          <w:rFonts w:asciiTheme="minorHAnsi" w:hAnsiTheme="minorHAnsi"/>
        </w:rPr>
        <w:t>.</w:t>
      </w:r>
    </w:p>
    <w:p w14:paraId="7D960EBC" w14:textId="6C171685" w:rsidR="00AF540D" w:rsidRDefault="003C0762" w:rsidP="002259ED">
      <w:pPr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BB1C6E">
        <w:rPr>
          <w:rFonts w:asciiTheme="minorHAnsi" w:hAnsiTheme="minorHAnsi"/>
        </w:rPr>
        <w:t>Market mix of bi-metal versus electronic thermostats</w:t>
      </w:r>
      <w:r w:rsidR="00AF540D">
        <w:rPr>
          <w:rFonts w:asciiTheme="minorHAnsi" w:hAnsiTheme="minorHAnsi"/>
        </w:rPr>
        <w:t xml:space="preserve">. </w:t>
      </w:r>
      <w:r w:rsidR="0037148D">
        <w:rPr>
          <w:rFonts w:asciiTheme="minorHAnsi" w:hAnsiTheme="minorHAnsi"/>
        </w:rPr>
        <w:t>This is</w:t>
      </w:r>
      <w:r w:rsidRPr="00BB1C6E">
        <w:rPr>
          <w:rFonts w:asciiTheme="minorHAnsi" w:hAnsiTheme="minorHAnsi"/>
        </w:rPr>
        <w:t xml:space="preserve"> not required</w:t>
      </w:r>
      <w:r w:rsidR="0037148D">
        <w:rPr>
          <w:rFonts w:asciiTheme="minorHAnsi" w:hAnsiTheme="minorHAnsi"/>
        </w:rPr>
        <w:t xml:space="preserve"> for proven-worthy savings estimates at this time</w:t>
      </w:r>
      <w:r w:rsidRPr="00BB1C6E">
        <w:rPr>
          <w:rFonts w:asciiTheme="minorHAnsi" w:hAnsiTheme="minorHAnsi"/>
        </w:rPr>
        <w:t xml:space="preserve"> because</w:t>
      </w:r>
      <w:r w:rsidR="0037148D">
        <w:rPr>
          <w:rFonts w:asciiTheme="minorHAnsi" w:hAnsiTheme="minorHAnsi"/>
        </w:rPr>
        <w:t xml:space="preserve"> </w:t>
      </w:r>
      <w:hyperlink r:id="rId9" w:history="1">
        <w:r w:rsidR="0037148D" w:rsidRPr="006750D1">
          <w:rPr>
            <w:rStyle w:val="Hyperlink"/>
            <w:rFonts w:asciiTheme="minorHAnsi" w:hAnsiTheme="minorHAnsi"/>
          </w:rPr>
          <w:t>recent research</w:t>
        </w:r>
      </w:hyperlink>
      <w:r w:rsidR="0037148D">
        <w:rPr>
          <w:rFonts w:asciiTheme="minorHAnsi" w:hAnsiTheme="minorHAnsi"/>
        </w:rPr>
        <w:t xml:space="preserve"> suggests very low market penetration of electronic thermostats</w:t>
      </w:r>
      <w:r w:rsidR="00AF540D">
        <w:rPr>
          <w:rFonts w:asciiTheme="minorHAnsi" w:hAnsiTheme="minorHAnsi"/>
        </w:rPr>
        <w:t xml:space="preserve">. </w:t>
      </w:r>
      <w:r w:rsidR="0037148D">
        <w:rPr>
          <w:rFonts w:asciiTheme="minorHAnsi" w:hAnsiTheme="minorHAnsi"/>
        </w:rPr>
        <w:t xml:space="preserve">Market mix will need to be updated </w:t>
      </w:r>
      <w:proofErr w:type="gramStart"/>
      <w:r w:rsidR="0037148D">
        <w:rPr>
          <w:rFonts w:asciiTheme="minorHAnsi" w:hAnsiTheme="minorHAnsi"/>
        </w:rPr>
        <w:t xml:space="preserve">if </w:t>
      </w:r>
      <w:r w:rsidR="00BE55F8">
        <w:rPr>
          <w:rFonts w:asciiTheme="minorHAnsi" w:hAnsiTheme="minorHAnsi"/>
        </w:rPr>
        <w:t xml:space="preserve"> new</w:t>
      </w:r>
      <w:proofErr w:type="gramEnd"/>
      <w:r w:rsidR="00BE55F8">
        <w:rPr>
          <w:rFonts w:asciiTheme="minorHAnsi" w:hAnsiTheme="minorHAnsi"/>
        </w:rPr>
        <w:t>-construction</w:t>
      </w:r>
      <w:r w:rsidR="0037148D">
        <w:rPr>
          <w:rFonts w:asciiTheme="minorHAnsi" w:hAnsiTheme="minorHAnsi"/>
        </w:rPr>
        <w:t xml:space="preserve"> measure</w:t>
      </w:r>
      <w:r w:rsidR="00BE55F8">
        <w:rPr>
          <w:rFonts w:asciiTheme="minorHAnsi" w:hAnsiTheme="minorHAnsi"/>
        </w:rPr>
        <w:t xml:space="preserve"> applications</w:t>
      </w:r>
      <w:r w:rsidR="0037148D">
        <w:rPr>
          <w:rFonts w:asciiTheme="minorHAnsi" w:hAnsiTheme="minorHAnsi"/>
        </w:rPr>
        <w:t xml:space="preserve"> take off</w:t>
      </w:r>
      <w:r w:rsidR="00AF540D">
        <w:rPr>
          <w:rFonts w:asciiTheme="minorHAnsi" w:hAnsiTheme="minorHAnsi"/>
        </w:rPr>
        <w:t>.</w:t>
      </w:r>
    </w:p>
    <w:p w14:paraId="7568981D" w14:textId="77A12F07" w:rsidR="00705157" w:rsidRDefault="00705157" w:rsidP="00705157">
      <w:pPr>
        <w:rPr>
          <w:rFonts w:asciiTheme="majorHAnsi" w:hAnsiTheme="majorHAnsi"/>
          <w:b/>
          <w:smallCaps/>
          <w:color w:val="266659"/>
          <w:sz w:val="36"/>
          <w:szCs w:val="36"/>
        </w:rPr>
      </w:pPr>
      <w:r w:rsidRPr="00705157">
        <w:rPr>
          <w:rFonts w:asciiTheme="majorHAnsi" w:hAnsiTheme="majorHAnsi"/>
          <w:b/>
          <w:smallCaps/>
          <w:color w:val="266659"/>
          <w:sz w:val="36"/>
          <w:szCs w:val="36"/>
        </w:rPr>
        <w:t>3. Data Collection and Analysis</w:t>
      </w:r>
    </w:p>
    <w:p w14:paraId="683497BB" w14:textId="77777777" w:rsidR="00AF540D" w:rsidRDefault="00F2338F" w:rsidP="00A2743A">
      <w:pPr>
        <w:spacing w:after="120"/>
        <w:rPr>
          <w:rFonts w:asciiTheme="minorHAnsi" w:hAnsiTheme="minorHAnsi"/>
        </w:rPr>
      </w:pPr>
      <w:r w:rsidRPr="00151FD9">
        <w:rPr>
          <w:rFonts w:asciiTheme="minorHAnsi" w:hAnsiTheme="minorHAnsi"/>
        </w:rPr>
        <w:t>This section</w:t>
      </w:r>
      <w:r w:rsidR="006B4870">
        <w:rPr>
          <w:rFonts w:asciiTheme="minorHAnsi" w:hAnsiTheme="minorHAnsi"/>
        </w:rPr>
        <w:t xml:space="preserve"> sketches out</w:t>
      </w:r>
      <w:r w:rsidR="000B1016">
        <w:rPr>
          <w:rFonts w:asciiTheme="minorHAnsi" w:hAnsiTheme="minorHAnsi"/>
        </w:rPr>
        <w:t xml:space="preserve"> a candidate</w:t>
      </w:r>
      <w:r w:rsidR="00305B33" w:rsidRPr="00151FD9">
        <w:rPr>
          <w:rFonts w:asciiTheme="minorHAnsi" w:hAnsiTheme="minorHAnsi"/>
        </w:rPr>
        <w:t xml:space="preserve"> data collection and analysis approach as a means of </w:t>
      </w:r>
      <w:r w:rsidR="006B4870">
        <w:rPr>
          <w:rFonts w:asciiTheme="minorHAnsi" w:hAnsiTheme="minorHAnsi"/>
        </w:rPr>
        <w:t>demonstrating</w:t>
      </w:r>
      <w:r w:rsidR="000B1016">
        <w:rPr>
          <w:rFonts w:asciiTheme="minorHAnsi" w:hAnsiTheme="minorHAnsi"/>
        </w:rPr>
        <w:t xml:space="preserve"> one potential </w:t>
      </w:r>
      <w:r w:rsidR="00305B33" w:rsidRPr="00151FD9">
        <w:rPr>
          <w:rFonts w:asciiTheme="minorHAnsi" w:hAnsiTheme="minorHAnsi"/>
        </w:rPr>
        <w:t>path</w:t>
      </w:r>
      <w:r w:rsidR="000B1016">
        <w:rPr>
          <w:rFonts w:asciiTheme="minorHAnsi" w:hAnsiTheme="minorHAnsi"/>
        </w:rPr>
        <w:t xml:space="preserve"> forward</w:t>
      </w:r>
      <w:r w:rsidR="00401942">
        <w:rPr>
          <w:rFonts w:asciiTheme="minorHAnsi" w:hAnsiTheme="minorHAnsi"/>
        </w:rPr>
        <w:t xml:space="preserve"> and estimating the likely size of the research lift</w:t>
      </w:r>
      <w:r w:rsidR="00AF540D">
        <w:rPr>
          <w:rFonts w:asciiTheme="minorHAnsi" w:hAnsiTheme="minorHAnsi"/>
        </w:rPr>
        <w:t xml:space="preserve">. </w:t>
      </w:r>
      <w:r w:rsidR="00B94097">
        <w:rPr>
          <w:rFonts w:asciiTheme="minorHAnsi" w:hAnsiTheme="minorHAnsi"/>
        </w:rPr>
        <w:t>Prior to fielding a study based on this or any other approach, r</w:t>
      </w:r>
      <w:r w:rsidR="004A5210">
        <w:rPr>
          <w:rFonts w:asciiTheme="minorHAnsi" w:hAnsiTheme="minorHAnsi"/>
        </w:rPr>
        <w:t>esearch</w:t>
      </w:r>
      <w:r w:rsidR="00B94097">
        <w:rPr>
          <w:rFonts w:asciiTheme="minorHAnsi" w:hAnsiTheme="minorHAnsi"/>
        </w:rPr>
        <w:t xml:space="preserve"> planners should independently assess the likelihood of meeting the research goals</w:t>
      </w:r>
      <w:r w:rsidR="00AF540D">
        <w:rPr>
          <w:rFonts w:asciiTheme="minorHAnsi" w:hAnsiTheme="minorHAnsi"/>
        </w:rPr>
        <w:t xml:space="preserve">. </w:t>
      </w:r>
      <w:r w:rsidR="00B94097" w:rsidRPr="00151FD9">
        <w:rPr>
          <w:rFonts w:asciiTheme="minorHAnsi" w:hAnsiTheme="minorHAnsi"/>
        </w:rPr>
        <w:t>The RTF recognizes</w:t>
      </w:r>
      <w:r w:rsidR="00B94097">
        <w:rPr>
          <w:rFonts w:asciiTheme="minorHAnsi" w:hAnsiTheme="minorHAnsi"/>
        </w:rPr>
        <w:t xml:space="preserve"> that </w:t>
      </w:r>
      <w:r w:rsidR="00305B33" w:rsidRPr="00151FD9">
        <w:rPr>
          <w:rFonts w:asciiTheme="minorHAnsi" w:hAnsiTheme="minorHAnsi"/>
        </w:rPr>
        <w:t>there may be alternative approaches that meet the research objectives defined above</w:t>
      </w:r>
      <w:r w:rsidR="00AF540D">
        <w:rPr>
          <w:rFonts w:asciiTheme="minorHAnsi" w:hAnsiTheme="minorHAnsi"/>
        </w:rPr>
        <w:t>.</w:t>
      </w:r>
    </w:p>
    <w:p w14:paraId="0149AE19" w14:textId="4CC7D7D7" w:rsidR="00D10179" w:rsidRDefault="000B1016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4019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candidate </w:t>
      </w:r>
      <w:r w:rsidR="00401942">
        <w:rPr>
          <w:rFonts w:asciiTheme="minorHAnsi" w:hAnsiTheme="minorHAnsi"/>
        </w:rPr>
        <w:t>res</w:t>
      </w:r>
      <w:r w:rsidR="00373746">
        <w:rPr>
          <w:rFonts w:asciiTheme="minorHAnsi" w:hAnsiTheme="minorHAnsi"/>
        </w:rPr>
        <w:t xml:space="preserve">earch design is a pre/post </w:t>
      </w:r>
      <w:r w:rsidR="00BE55F8">
        <w:rPr>
          <w:rFonts w:asciiTheme="minorHAnsi" w:hAnsiTheme="minorHAnsi"/>
        </w:rPr>
        <w:t>heating energy</w:t>
      </w:r>
      <w:r w:rsidR="00401942">
        <w:rPr>
          <w:rFonts w:asciiTheme="minorHAnsi" w:hAnsiTheme="minorHAnsi"/>
        </w:rPr>
        <w:t xml:space="preserve"> analysis</w:t>
      </w:r>
      <w:r w:rsidR="00B62F4D">
        <w:rPr>
          <w:rFonts w:asciiTheme="minorHAnsi" w:hAnsiTheme="minorHAnsi"/>
        </w:rPr>
        <w:t xml:space="preserve"> with a comparison group</w:t>
      </w:r>
      <w:r w:rsidR="00AF540D">
        <w:rPr>
          <w:rFonts w:asciiTheme="minorHAnsi" w:hAnsiTheme="minorHAnsi"/>
        </w:rPr>
        <w:t xml:space="preserve">. </w:t>
      </w:r>
      <w:r w:rsidR="00373746">
        <w:rPr>
          <w:rFonts w:asciiTheme="minorHAnsi" w:hAnsiTheme="minorHAnsi"/>
        </w:rPr>
        <w:t xml:space="preserve">Based on prior studies, the RTF’s </w:t>
      </w:r>
      <w:r w:rsidR="00373746" w:rsidRPr="00373746">
        <w:rPr>
          <w:rFonts w:asciiTheme="minorHAnsi" w:hAnsiTheme="minorHAnsi"/>
          <w:i/>
        </w:rPr>
        <w:t>a priori</w:t>
      </w:r>
      <w:r w:rsidR="00373746">
        <w:rPr>
          <w:rFonts w:asciiTheme="minorHAnsi" w:hAnsiTheme="minorHAnsi"/>
        </w:rPr>
        <w:t xml:space="preserve"> measure</w:t>
      </w:r>
      <w:r>
        <w:rPr>
          <w:rFonts w:asciiTheme="minorHAnsi" w:hAnsiTheme="minorHAnsi"/>
        </w:rPr>
        <w:t xml:space="preserve"> savings</w:t>
      </w:r>
      <w:r w:rsidR="00373746">
        <w:rPr>
          <w:rFonts w:asciiTheme="minorHAnsi" w:hAnsiTheme="minorHAnsi"/>
        </w:rPr>
        <w:t xml:space="preserve"> estimate is 5% of baseline heating energy</w:t>
      </w:r>
      <w:r w:rsidR="00AF540D">
        <w:rPr>
          <w:rFonts w:asciiTheme="minorHAnsi" w:hAnsiTheme="minorHAnsi"/>
        </w:rPr>
        <w:t xml:space="preserve">. </w:t>
      </w:r>
      <w:r w:rsidR="00416DB1">
        <w:rPr>
          <w:rFonts w:asciiTheme="minorHAnsi" w:hAnsiTheme="minorHAnsi"/>
        </w:rPr>
        <w:t>T</w:t>
      </w:r>
      <w:r w:rsidR="00373746">
        <w:rPr>
          <w:rFonts w:asciiTheme="minorHAnsi" w:hAnsiTheme="minorHAnsi"/>
        </w:rPr>
        <w:t>his is a small effect relative to</w:t>
      </w:r>
      <w:r w:rsidR="00416DB1">
        <w:rPr>
          <w:rFonts w:asciiTheme="minorHAnsi" w:hAnsiTheme="minorHAnsi"/>
        </w:rPr>
        <w:t xml:space="preserve"> the random variability in energy consumption that one typically observes from one site to the next or across</w:t>
      </w:r>
      <w:r>
        <w:rPr>
          <w:rFonts w:asciiTheme="minorHAnsi" w:hAnsiTheme="minorHAnsi"/>
        </w:rPr>
        <w:t xml:space="preserve"> time</w:t>
      </w:r>
      <w:r w:rsidR="00416DB1">
        <w:rPr>
          <w:rFonts w:asciiTheme="minorHAnsi" w:hAnsiTheme="minorHAnsi"/>
        </w:rPr>
        <w:t xml:space="preserve"> </w:t>
      </w:r>
      <w:r w:rsidR="00373746">
        <w:rPr>
          <w:rFonts w:asciiTheme="minorHAnsi" w:hAnsiTheme="minorHAnsi"/>
        </w:rPr>
        <w:t>period</w:t>
      </w:r>
      <w:r w:rsidR="00416DB1">
        <w:rPr>
          <w:rFonts w:asciiTheme="minorHAnsi" w:hAnsiTheme="minorHAnsi"/>
        </w:rPr>
        <w:t>s within a single site</w:t>
      </w:r>
      <w:r w:rsidR="00AF540D">
        <w:rPr>
          <w:rFonts w:asciiTheme="minorHAnsi" w:hAnsiTheme="minorHAnsi"/>
        </w:rPr>
        <w:t xml:space="preserve">. </w:t>
      </w:r>
      <w:r w:rsidR="00D10179">
        <w:rPr>
          <w:rFonts w:asciiTheme="minorHAnsi" w:hAnsiTheme="minorHAnsi"/>
        </w:rPr>
        <w:t>Because of this</w:t>
      </w:r>
      <w:r w:rsidR="00416DB1">
        <w:rPr>
          <w:rFonts w:asciiTheme="minorHAnsi" w:hAnsiTheme="minorHAnsi"/>
        </w:rPr>
        <w:t xml:space="preserve">, researchers </w:t>
      </w:r>
      <w:r w:rsidR="00D10179">
        <w:rPr>
          <w:rFonts w:asciiTheme="minorHAnsi" w:hAnsiTheme="minorHAnsi"/>
        </w:rPr>
        <w:t xml:space="preserve">must </w:t>
      </w:r>
      <w:r w:rsidR="00416DB1">
        <w:rPr>
          <w:rFonts w:asciiTheme="minorHAnsi" w:hAnsiTheme="minorHAnsi"/>
        </w:rPr>
        <w:t>care</w:t>
      </w:r>
      <w:r w:rsidR="00D10179">
        <w:rPr>
          <w:rFonts w:asciiTheme="minorHAnsi" w:hAnsiTheme="minorHAnsi"/>
        </w:rPr>
        <w:t xml:space="preserve">fully </w:t>
      </w:r>
      <w:r w:rsidR="00416DB1">
        <w:rPr>
          <w:rFonts w:asciiTheme="minorHAnsi" w:hAnsiTheme="minorHAnsi"/>
        </w:rPr>
        <w:t>consider how different analysis approaches are likely to handle different aspects of variability:</w:t>
      </w:r>
    </w:p>
    <w:p w14:paraId="05807E15" w14:textId="08205360" w:rsidR="00184CA9" w:rsidRDefault="00184CA9" w:rsidP="00A2743A">
      <w:pPr>
        <w:pStyle w:val="ListParagraph"/>
        <w:numPr>
          <w:ilvl w:val="0"/>
          <w:numId w:val="18"/>
        </w:numPr>
        <w:spacing w:after="120"/>
        <w:contextualSpacing w:val="0"/>
        <w:rPr>
          <w:rFonts w:asciiTheme="minorHAnsi" w:hAnsiTheme="minorHAnsi"/>
        </w:rPr>
      </w:pPr>
      <w:r w:rsidRPr="00D10179">
        <w:rPr>
          <w:rFonts w:asciiTheme="minorHAnsi" w:hAnsiTheme="minorHAnsi"/>
          <w:b/>
        </w:rPr>
        <w:t>Variability in actual savings</w:t>
      </w:r>
      <w:r w:rsidR="00AF540D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Actual measure savings depends on the condition of existing thermostats and occupant responses to temperature </w:t>
      </w:r>
      <w:r w:rsidR="00D10179">
        <w:rPr>
          <w:rFonts w:asciiTheme="minorHAnsi" w:hAnsiTheme="minorHAnsi"/>
        </w:rPr>
        <w:t>swings.</w:t>
      </w:r>
    </w:p>
    <w:p w14:paraId="0F3AE30F" w14:textId="29B01FC2" w:rsidR="00184CA9" w:rsidRPr="00184CA9" w:rsidRDefault="00184CA9" w:rsidP="00A2743A">
      <w:pPr>
        <w:pStyle w:val="ListParagraph"/>
        <w:numPr>
          <w:ilvl w:val="0"/>
          <w:numId w:val="18"/>
        </w:numPr>
        <w:spacing w:after="120"/>
        <w:contextualSpacing w:val="0"/>
        <w:rPr>
          <w:rFonts w:asciiTheme="minorHAnsi" w:hAnsiTheme="minorHAnsi"/>
        </w:rPr>
      </w:pPr>
      <w:r w:rsidRPr="00D10179">
        <w:rPr>
          <w:rFonts w:asciiTheme="minorHAnsi" w:hAnsiTheme="minorHAnsi"/>
          <w:b/>
        </w:rPr>
        <w:t>Variability in actual baseline consumption</w:t>
      </w:r>
      <w:r w:rsidR="00AF540D">
        <w:rPr>
          <w:rFonts w:asciiTheme="minorHAnsi" w:hAnsiTheme="minorHAnsi"/>
          <w:b/>
        </w:rPr>
        <w:t xml:space="preserve">. </w:t>
      </w:r>
      <w:r w:rsidR="00BE55F8">
        <w:rPr>
          <w:rFonts w:asciiTheme="minorHAnsi" w:hAnsiTheme="minorHAnsi"/>
        </w:rPr>
        <w:t>Typical c</w:t>
      </w:r>
      <w:r>
        <w:rPr>
          <w:rFonts w:asciiTheme="minorHAnsi" w:hAnsiTheme="minorHAnsi"/>
        </w:rPr>
        <w:t>onsumption levels can vary wildly from one site t</w:t>
      </w:r>
      <w:r w:rsidR="00D10179">
        <w:rPr>
          <w:rFonts w:asciiTheme="minorHAnsi" w:hAnsiTheme="minorHAnsi"/>
        </w:rPr>
        <w:t>o the next</w:t>
      </w:r>
      <w:r w:rsidR="00AF540D">
        <w:rPr>
          <w:rFonts w:asciiTheme="minorHAnsi" w:hAnsiTheme="minorHAnsi"/>
        </w:rPr>
        <w:t xml:space="preserve">. </w:t>
      </w:r>
      <w:r w:rsidR="00BE55F8">
        <w:rPr>
          <w:rFonts w:asciiTheme="minorHAnsi" w:hAnsiTheme="minorHAnsi"/>
        </w:rPr>
        <w:t xml:space="preserve">(This variability is </w:t>
      </w:r>
      <w:proofErr w:type="spellStart"/>
      <w:r w:rsidR="00BE55F8">
        <w:rPr>
          <w:rFonts w:asciiTheme="minorHAnsi" w:hAnsiTheme="minorHAnsi"/>
        </w:rPr>
        <w:t>is</w:t>
      </w:r>
      <w:proofErr w:type="spellEnd"/>
      <w:r w:rsidR="00BE55F8">
        <w:rPr>
          <w:rFonts w:asciiTheme="minorHAnsi" w:hAnsiTheme="minorHAnsi"/>
        </w:rPr>
        <w:t xml:space="preserve"> not critical in the pre/post study design.)</w:t>
      </w:r>
      <w:r>
        <w:rPr>
          <w:rFonts w:asciiTheme="minorHAnsi" w:hAnsiTheme="minorHAnsi"/>
        </w:rPr>
        <w:t xml:space="preserve"> </w:t>
      </w:r>
    </w:p>
    <w:p w14:paraId="5BB18F39" w14:textId="77777777" w:rsidR="00AF540D" w:rsidRDefault="00D10179" w:rsidP="00A2743A">
      <w:pPr>
        <w:pStyle w:val="ListParagraph"/>
        <w:numPr>
          <w:ilvl w:val="0"/>
          <w:numId w:val="18"/>
        </w:numPr>
        <w:spacing w:after="120"/>
        <w:contextualSpacing w:val="0"/>
        <w:rPr>
          <w:rFonts w:asciiTheme="minorHAnsi" w:hAnsiTheme="minorHAnsi"/>
        </w:rPr>
      </w:pPr>
      <w:r w:rsidRPr="00D10179">
        <w:rPr>
          <w:rFonts w:asciiTheme="minorHAnsi" w:hAnsiTheme="minorHAnsi"/>
          <w:b/>
        </w:rPr>
        <w:lastRenderedPageBreak/>
        <w:t>Random</w:t>
      </w:r>
      <w:r w:rsidR="00184CA9" w:rsidRPr="00D10179">
        <w:rPr>
          <w:rFonts w:asciiTheme="minorHAnsi" w:hAnsiTheme="minorHAnsi"/>
          <w:b/>
        </w:rPr>
        <w:t xml:space="preserve"> </w:t>
      </w:r>
      <w:r w:rsidRPr="00D10179">
        <w:rPr>
          <w:rFonts w:asciiTheme="minorHAnsi" w:hAnsiTheme="minorHAnsi"/>
          <w:b/>
        </w:rPr>
        <w:t>consumption variability</w:t>
      </w:r>
      <w:r w:rsidR="00AF540D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Random deviations from the </w:t>
      </w:r>
      <w:r w:rsidR="00184CA9">
        <w:rPr>
          <w:rFonts w:asciiTheme="minorHAnsi" w:hAnsiTheme="minorHAnsi"/>
        </w:rPr>
        <w:t>consumption</w:t>
      </w:r>
      <w:r>
        <w:rPr>
          <w:rFonts w:asciiTheme="minorHAnsi" w:hAnsiTheme="minorHAnsi"/>
        </w:rPr>
        <w:t xml:space="preserve"> trend that prevails at a site during a given time period</w:t>
      </w:r>
      <w:r w:rsidR="00AF5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These lead to uncertainty in regression fits</w:t>
      </w:r>
      <w:r w:rsidR="00AF540D">
        <w:rPr>
          <w:rFonts w:asciiTheme="minorHAnsi" w:hAnsiTheme="minorHAnsi"/>
        </w:rPr>
        <w:t>.</w:t>
      </w:r>
    </w:p>
    <w:p w14:paraId="6367F1F4" w14:textId="64BF2858" w:rsidR="009E0F11" w:rsidRPr="007A15C8" w:rsidRDefault="007A15C8" w:rsidP="009E0F1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This</w:t>
      </w:r>
      <w:r w:rsidR="000B1016">
        <w:rPr>
          <w:rFonts w:asciiTheme="minorHAnsi" w:hAnsiTheme="minorHAnsi"/>
        </w:rPr>
        <w:t xml:space="preserve"> candidate</w:t>
      </w:r>
      <w:r>
        <w:rPr>
          <w:rFonts w:asciiTheme="minorHAnsi" w:hAnsiTheme="minorHAnsi"/>
        </w:rPr>
        <w:t xml:space="preserve"> approach assumes day-level AMI data will be available for the study sample</w:t>
      </w:r>
      <w:r w:rsidR="00AF5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By increasing the number of observations at each site, the AMI data is expected to decrease uncertainty in site-specific regression fits</w:t>
      </w:r>
      <w:r w:rsidR="00AF5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If AMI data is not available, the RTF recommends </w:t>
      </w:r>
      <w:r w:rsidR="00BE55F8">
        <w:rPr>
          <w:rFonts w:asciiTheme="minorHAnsi" w:hAnsiTheme="minorHAnsi"/>
        </w:rPr>
        <w:t xml:space="preserve">either collecting interval data at the service panel or </w:t>
      </w:r>
      <w:r>
        <w:rPr>
          <w:rFonts w:asciiTheme="minorHAnsi" w:hAnsiTheme="minorHAnsi"/>
        </w:rPr>
        <w:t xml:space="preserve">increasing the pre-period billing data from one year to two years and increasing the </w:t>
      </w:r>
      <w:r w:rsidR="00A2743A">
        <w:rPr>
          <w:rFonts w:asciiTheme="minorHAnsi" w:hAnsiTheme="minorHAnsi"/>
        </w:rPr>
        <w:t xml:space="preserve">sample sizes (see </w:t>
      </w:r>
      <w:r w:rsidR="00A2743A" w:rsidRPr="00A2743A">
        <w:rPr>
          <w:rFonts w:asciiTheme="minorHAnsi" w:hAnsiTheme="minorHAnsi"/>
          <w:i/>
        </w:rPr>
        <w:t>Sample Design</w:t>
      </w:r>
      <w:r w:rsidR="00A2743A">
        <w:rPr>
          <w:rFonts w:asciiTheme="minorHAnsi" w:hAnsiTheme="minorHAnsi"/>
        </w:rPr>
        <w:t>, below)</w:t>
      </w:r>
      <w:r>
        <w:rPr>
          <w:rFonts w:asciiTheme="minorHAnsi" w:hAnsiTheme="minorHAnsi"/>
        </w:rPr>
        <w:t>.</w:t>
      </w:r>
      <w:r w:rsidR="00BE55F8">
        <w:rPr>
          <w:rStyle w:val="FootnoteReference"/>
          <w:rFonts w:asciiTheme="minorHAnsi" w:hAnsiTheme="minorHAnsi"/>
        </w:rPr>
        <w:footnoteReference w:id="2"/>
      </w:r>
      <w:r w:rsidR="00A2743A">
        <w:rPr>
          <w:rFonts w:asciiTheme="minorHAnsi" w:hAnsiTheme="minorHAnsi"/>
        </w:rPr>
        <w:t xml:space="preserve"> </w:t>
      </w:r>
    </w:p>
    <w:p w14:paraId="64FA63BE" w14:textId="77777777" w:rsidR="007A15C8" w:rsidRPr="006B4870" w:rsidRDefault="007A15C8" w:rsidP="007A15C8">
      <w:pPr>
        <w:rPr>
          <w:rFonts w:asciiTheme="minorHAnsi" w:hAnsiTheme="minorHAnsi"/>
          <w:b/>
          <w:i/>
        </w:rPr>
      </w:pPr>
      <w:r w:rsidRPr="006B4870">
        <w:rPr>
          <w:rFonts w:asciiTheme="minorHAnsi" w:hAnsiTheme="minorHAnsi"/>
          <w:b/>
          <w:i/>
        </w:rPr>
        <w:t>Data collection</w:t>
      </w:r>
    </w:p>
    <w:p w14:paraId="653107F8" w14:textId="7DE8A0C5" w:rsidR="007A15C8" w:rsidRDefault="00C23706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B62F4D">
        <w:rPr>
          <w:rFonts w:asciiTheme="minorHAnsi" w:hAnsiTheme="minorHAnsi"/>
        </w:rPr>
        <w:t xml:space="preserve"> treatment-group</w:t>
      </w:r>
      <w:r>
        <w:rPr>
          <w:rFonts w:asciiTheme="minorHAnsi" w:hAnsiTheme="minorHAnsi"/>
        </w:rPr>
        <w:t xml:space="preserve"> sample unit is a single building which has undergone a </w:t>
      </w:r>
      <w:r w:rsidR="00FA73C1">
        <w:rPr>
          <w:rFonts w:asciiTheme="minorHAnsi" w:hAnsiTheme="minorHAnsi"/>
        </w:rPr>
        <w:t>whole-building thermostat retrofit</w:t>
      </w:r>
      <w:r w:rsidR="00AF540D">
        <w:rPr>
          <w:rFonts w:asciiTheme="minorHAnsi" w:hAnsiTheme="minorHAnsi"/>
        </w:rPr>
        <w:t xml:space="preserve">. </w:t>
      </w:r>
      <w:r w:rsidR="00D06066">
        <w:rPr>
          <w:rFonts w:asciiTheme="minorHAnsi" w:hAnsiTheme="minorHAnsi"/>
        </w:rPr>
        <w:t>The following data is collected for each building included in the treatment sample</w:t>
      </w:r>
      <w:r w:rsidR="007A15C8">
        <w:rPr>
          <w:rFonts w:asciiTheme="minorHAnsi" w:hAnsiTheme="minorHAnsi"/>
        </w:rPr>
        <w:t>:</w:t>
      </w:r>
    </w:p>
    <w:p w14:paraId="7DE9D0ED" w14:textId="57CA38BF" w:rsidR="008D60F3" w:rsidRPr="008D60F3" w:rsidRDefault="008D60F3" w:rsidP="00FA73C1">
      <w:pPr>
        <w:pStyle w:val="ListParagraph"/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Whole</w:t>
      </w:r>
      <w:r w:rsidRPr="008D60F3">
        <w:rPr>
          <w:rFonts w:asciiTheme="minorHAnsi" w:hAnsiTheme="minorHAnsi"/>
        </w:rPr>
        <w:t>-house consumption data for at least 1 year pre- and post-retrofit, at one-day intervals;</w:t>
      </w:r>
    </w:p>
    <w:p w14:paraId="29B4C341" w14:textId="1340E410" w:rsidR="00B62F4D" w:rsidRDefault="00AE49C7" w:rsidP="00FA73C1">
      <w:pPr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Site location (city or zip code), number </w:t>
      </w:r>
      <w:r w:rsidR="004C2293">
        <w:rPr>
          <w:rFonts w:asciiTheme="minorHAnsi" w:hAnsiTheme="minorHAnsi"/>
        </w:rPr>
        <w:t xml:space="preserve">and type </w:t>
      </w:r>
      <w:r>
        <w:rPr>
          <w:rFonts w:asciiTheme="minorHAnsi" w:hAnsiTheme="minorHAnsi"/>
        </w:rPr>
        <w:t>of thermostats replaced (plus total number of thermostats present if different),</w:t>
      </w:r>
      <w:r w:rsidR="004C2293">
        <w:rPr>
          <w:rFonts w:asciiTheme="minorHAnsi" w:hAnsiTheme="minorHAnsi"/>
        </w:rPr>
        <w:t xml:space="preserve"> display functionality of replacement thermostats</w:t>
      </w:r>
      <w:r w:rsidR="008D60F3">
        <w:rPr>
          <w:rFonts w:asciiTheme="minorHAnsi" w:hAnsiTheme="minorHAnsi"/>
        </w:rPr>
        <w:t xml:space="preserve"> (manual, digital, programmable)</w:t>
      </w:r>
      <w:r w:rsidR="00C23706">
        <w:rPr>
          <w:rFonts w:asciiTheme="minorHAnsi" w:hAnsiTheme="minorHAnsi"/>
        </w:rPr>
        <w:t xml:space="preserve">, </w:t>
      </w:r>
      <w:r w:rsidRPr="008D60F3">
        <w:rPr>
          <w:rFonts w:asciiTheme="minorHAnsi" w:hAnsiTheme="minorHAnsi"/>
        </w:rPr>
        <w:t>heating system type (shou</w:t>
      </w:r>
      <w:r w:rsidR="00C23706">
        <w:rPr>
          <w:rFonts w:asciiTheme="minorHAnsi" w:hAnsiTheme="minorHAnsi"/>
        </w:rPr>
        <w:t>ld be electric zonal), and (for multi-family buildings</w:t>
      </w:r>
      <w:r w:rsidR="00D06066">
        <w:rPr>
          <w:rFonts w:asciiTheme="minorHAnsi" w:hAnsiTheme="minorHAnsi"/>
        </w:rPr>
        <w:t>) number of dwelling units.</w:t>
      </w:r>
    </w:p>
    <w:p w14:paraId="63FA1256" w14:textId="77777777" w:rsidR="00D06066" w:rsidRDefault="00D06066" w:rsidP="0020143D">
      <w:pPr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D06066">
        <w:rPr>
          <w:rFonts w:asciiTheme="minorHAnsi" w:hAnsiTheme="minorHAnsi"/>
        </w:rPr>
        <w:t>An indication of whether the building underwent program retrofits likely to have a significant effect on heating energy during the study period.</w:t>
      </w:r>
    </w:p>
    <w:p w14:paraId="66D20F79" w14:textId="77777777" w:rsidR="00AF540D" w:rsidRDefault="00B62F4D" w:rsidP="00D06066">
      <w:pPr>
        <w:spacing w:after="120"/>
        <w:rPr>
          <w:rFonts w:asciiTheme="minorHAnsi" w:hAnsiTheme="minorHAnsi"/>
        </w:rPr>
      </w:pPr>
      <w:r w:rsidRPr="00D06066">
        <w:rPr>
          <w:rFonts w:asciiTheme="minorHAnsi" w:hAnsiTheme="minorHAnsi"/>
        </w:rPr>
        <w:t>For the comparison group, only consumption data</w:t>
      </w:r>
      <w:r w:rsidR="00D06066">
        <w:rPr>
          <w:rFonts w:asciiTheme="minorHAnsi" w:hAnsiTheme="minorHAnsi"/>
        </w:rPr>
        <w:t>,</w:t>
      </w:r>
      <w:r w:rsidR="00D06066" w:rsidRPr="00D06066">
        <w:rPr>
          <w:rFonts w:asciiTheme="minorHAnsi" w:hAnsiTheme="minorHAnsi"/>
        </w:rPr>
        <w:t xml:space="preserve"> location</w:t>
      </w:r>
      <w:r w:rsidR="00D06066">
        <w:rPr>
          <w:rFonts w:asciiTheme="minorHAnsi" w:hAnsiTheme="minorHAnsi"/>
        </w:rPr>
        <w:t xml:space="preserve">, and </w:t>
      </w:r>
      <w:r w:rsidR="00FA73C1">
        <w:rPr>
          <w:rFonts w:asciiTheme="minorHAnsi" w:hAnsiTheme="minorHAnsi"/>
        </w:rPr>
        <w:t>other-</w:t>
      </w:r>
      <w:r w:rsidR="00D06066">
        <w:rPr>
          <w:rFonts w:asciiTheme="minorHAnsi" w:hAnsiTheme="minorHAnsi"/>
        </w:rPr>
        <w:t>program participation</w:t>
      </w:r>
      <w:r w:rsidR="00D06066" w:rsidRPr="00D06066">
        <w:rPr>
          <w:rFonts w:asciiTheme="minorHAnsi" w:hAnsiTheme="minorHAnsi"/>
        </w:rPr>
        <w:t xml:space="preserve"> are needed</w:t>
      </w:r>
      <w:r w:rsidR="00AF540D">
        <w:rPr>
          <w:rFonts w:asciiTheme="minorHAnsi" w:hAnsiTheme="minorHAnsi"/>
        </w:rPr>
        <w:t>.</w:t>
      </w:r>
    </w:p>
    <w:p w14:paraId="157A970D" w14:textId="77777777" w:rsidR="00AF540D" w:rsidRDefault="0020143D" w:rsidP="007E0878">
      <w:pPr>
        <w:spacing w:after="120"/>
        <w:rPr>
          <w:rFonts w:asciiTheme="minorHAnsi" w:hAnsiTheme="minorHAnsi"/>
        </w:rPr>
      </w:pPr>
      <w:r w:rsidRPr="00D06066">
        <w:rPr>
          <w:rFonts w:asciiTheme="minorHAnsi" w:hAnsiTheme="minorHAnsi"/>
        </w:rPr>
        <w:t xml:space="preserve">Day-level data should be cleaned to </w:t>
      </w:r>
      <w:r w:rsidR="004C2293" w:rsidRPr="00D06066">
        <w:rPr>
          <w:rFonts w:asciiTheme="minorHAnsi" w:hAnsiTheme="minorHAnsi"/>
        </w:rPr>
        <w:t>account for</w:t>
      </w:r>
      <w:r w:rsidR="00AB54D5" w:rsidRPr="00D06066">
        <w:rPr>
          <w:rFonts w:asciiTheme="minorHAnsi" w:hAnsiTheme="minorHAnsi"/>
        </w:rPr>
        <w:t xml:space="preserve"> anomalous readings such as</w:t>
      </w:r>
      <w:r w:rsidRPr="00D06066">
        <w:rPr>
          <w:rFonts w:asciiTheme="minorHAnsi" w:hAnsiTheme="minorHAnsi"/>
        </w:rPr>
        <w:t xml:space="preserve"> apparent vacation </w:t>
      </w:r>
      <w:r w:rsidR="00AB54D5" w:rsidRPr="00D06066">
        <w:rPr>
          <w:rFonts w:asciiTheme="minorHAnsi" w:hAnsiTheme="minorHAnsi"/>
        </w:rPr>
        <w:t>periods</w:t>
      </w:r>
      <w:r w:rsidR="00AF540D">
        <w:rPr>
          <w:rFonts w:asciiTheme="minorHAnsi" w:hAnsiTheme="minorHAnsi"/>
        </w:rPr>
        <w:t xml:space="preserve">. </w:t>
      </w:r>
      <w:r w:rsidR="00B62F4D" w:rsidRPr="00D06066">
        <w:rPr>
          <w:rFonts w:asciiTheme="minorHAnsi" w:hAnsiTheme="minorHAnsi"/>
        </w:rPr>
        <w:t>In addition, the RTF recommends limiting the analysis sample to buildings that did not experience significant program interventions related to heating energy (weatherization, DHP installation, etc.)</w:t>
      </w:r>
      <w:r w:rsidR="00D06066">
        <w:rPr>
          <w:rFonts w:asciiTheme="minorHAnsi" w:hAnsiTheme="minorHAnsi"/>
        </w:rPr>
        <w:t xml:space="preserve"> and limiting the comparison sample to sites that have heating signatures consistent with electric resistance heat</w:t>
      </w:r>
      <w:r w:rsidR="00AF540D">
        <w:rPr>
          <w:rFonts w:asciiTheme="minorHAnsi" w:hAnsiTheme="minorHAnsi"/>
        </w:rPr>
        <w:t xml:space="preserve">. </w:t>
      </w:r>
      <w:r w:rsidR="00D06066">
        <w:rPr>
          <w:rFonts w:asciiTheme="minorHAnsi" w:hAnsiTheme="minorHAnsi"/>
        </w:rPr>
        <w:t>Most importantly, r</w:t>
      </w:r>
      <w:r w:rsidRPr="00D06066">
        <w:rPr>
          <w:rFonts w:asciiTheme="minorHAnsi" w:hAnsiTheme="minorHAnsi"/>
        </w:rPr>
        <w:t xml:space="preserve">esearchers should </w:t>
      </w:r>
      <w:r w:rsidR="00D06066">
        <w:rPr>
          <w:rFonts w:asciiTheme="minorHAnsi" w:hAnsiTheme="minorHAnsi"/>
        </w:rPr>
        <w:t xml:space="preserve">use data filters to </w:t>
      </w:r>
      <w:r w:rsidR="007E0878">
        <w:rPr>
          <w:rFonts w:asciiTheme="minorHAnsi" w:hAnsiTheme="minorHAnsi"/>
        </w:rPr>
        <w:t>minimize</w:t>
      </w:r>
      <w:r w:rsidR="00D06066">
        <w:rPr>
          <w:rFonts w:asciiTheme="minorHAnsi" w:hAnsiTheme="minorHAnsi"/>
        </w:rPr>
        <w:t xml:space="preserve"> likely sources of </w:t>
      </w:r>
      <w:r w:rsidR="007E0878">
        <w:rPr>
          <w:rFonts w:asciiTheme="minorHAnsi" w:hAnsiTheme="minorHAnsi"/>
        </w:rPr>
        <w:t>bias, and data cleaning decisions should be carefully documented</w:t>
      </w:r>
      <w:r w:rsidR="00AF540D">
        <w:rPr>
          <w:rFonts w:asciiTheme="minorHAnsi" w:hAnsiTheme="minorHAnsi"/>
        </w:rPr>
        <w:t>.</w:t>
      </w:r>
    </w:p>
    <w:p w14:paraId="66862E4F" w14:textId="23A89576" w:rsidR="007A15C8" w:rsidRPr="00FA73C1" w:rsidRDefault="00B62F4D" w:rsidP="00FA73C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To ensure that day-level data will be available for pre-period analysis in this or other studies, AMI-equipped utilities should consider maintaining day-level consumption data repositories that routinely go back at least one year.</w:t>
      </w:r>
    </w:p>
    <w:p w14:paraId="44AB6C62" w14:textId="77777777" w:rsidR="007A15C8" w:rsidRPr="006B4870" w:rsidRDefault="007A15C8" w:rsidP="00BB1067">
      <w:pPr>
        <w:spacing w:after="40"/>
        <w:rPr>
          <w:rFonts w:asciiTheme="minorHAnsi" w:hAnsiTheme="minorHAnsi"/>
          <w:b/>
          <w:i/>
        </w:rPr>
      </w:pPr>
      <w:r w:rsidRPr="006B4870">
        <w:rPr>
          <w:rFonts w:asciiTheme="minorHAnsi" w:hAnsiTheme="minorHAnsi"/>
          <w:b/>
          <w:i/>
        </w:rPr>
        <w:t>Analysis</w:t>
      </w:r>
    </w:p>
    <w:p w14:paraId="59051249" w14:textId="7A90C15F" w:rsidR="00D37A08" w:rsidRDefault="00D10179" w:rsidP="006B4870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Researchers believe this measure achieves savings by narrowing the thermostat’s dead band, thus enabling occupants to live comfortably at a lower average indoor temperature</w:t>
      </w:r>
      <w:r w:rsidR="00AF540D">
        <w:rPr>
          <w:rFonts w:asciiTheme="minorHAnsi" w:hAnsiTheme="minorHAnsi"/>
        </w:rPr>
        <w:t xml:space="preserve">. </w:t>
      </w:r>
      <w:r w:rsidR="008A3B8F">
        <w:rPr>
          <w:rFonts w:asciiTheme="minorHAnsi" w:hAnsiTheme="minorHAnsi"/>
        </w:rPr>
        <w:t>Effectively,</w:t>
      </w:r>
      <w:r>
        <w:rPr>
          <w:rFonts w:asciiTheme="minorHAnsi" w:hAnsiTheme="minorHAnsi"/>
        </w:rPr>
        <w:t xml:space="preserve"> the measure </w:t>
      </w:r>
      <w:r w:rsidR="008A3B8F">
        <w:rPr>
          <w:rFonts w:asciiTheme="minorHAnsi" w:hAnsiTheme="minorHAnsi"/>
        </w:rPr>
        <w:t xml:space="preserve">alters the Delta-T between a home’s exterior and interior, but it </w:t>
      </w:r>
      <w:r>
        <w:rPr>
          <w:rFonts w:asciiTheme="minorHAnsi" w:hAnsiTheme="minorHAnsi"/>
        </w:rPr>
        <w:t>does not affect the home’</w:t>
      </w:r>
      <w:r w:rsidR="008A3B8F">
        <w:rPr>
          <w:rFonts w:asciiTheme="minorHAnsi" w:hAnsiTheme="minorHAnsi"/>
        </w:rPr>
        <w:t>s UA</w:t>
      </w:r>
      <w:r w:rsidR="00AF540D">
        <w:rPr>
          <w:rFonts w:asciiTheme="minorHAnsi" w:hAnsiTheme="minorHAnsi"/>
        </w:rPr>
        <w:t xml:space="preserve">. </w:t>
      </w:r>
      <w:r w:rsidR="00D37A08">
        <w:rPr>
          <w:rFonts w:asciiTheme="minorHAnsi" w:hAnsiTheme="minorHAnsi"/>
        </w:rPr>
        <w:t>Because of this,</w:t>
      </w:r>
      <w:r w:rsidR="006E3DF9">
        <w:rPr>
          <w:rFonts w:asciiTheme="minorHAnsi" w:hAnsiTheme="minorHAnsi"/>
        </w:rPr>
        <w:t xml:space="preserve"> the </w:t>
      </w:r>
      <w:r w:rsidR="00C049BD">
        <w:rPr>
          <w:rFonts w:asciiTheme="minorHAnsi" w:hAnsiTheme="minorHAnsi"/>
        </w:rPr>
        <w:t>candidate approach is to use</w:t>
      </w:r>
      <w:r w:rsidR="008A3B8F">
        <w:rPr>
          <w:rFonts w:asciiTheme="minorHAnsi" w:hAnsiTheme="minorHAnsi"/>
        </w:rPr>
        <w:t xml:space="preserve"> a</w:t>
      </w:r>
      <w:r w:rsidR="00B2424F">
        <w:rPr>
          <w:rFonts w:asciiTheme="minorHAnsi" w:hAnsiTheme="minorHAnsi"/>
        </w:rPr>
        <w:t xml:space="preserve"> two-stage analysis that fits site-specific change-point models in the first stage</w:t>
      </w:r>
      <w:r w:rsidR="00D37B4F">
        <w:rPr>
          <w:rFonts w:asciiTheme="minorHAnsi" w:hAnsiTheme="minorHAnsi"/>
        </w:rPr>
        <w:t>,</w:t>
      </w:r>
      <w:r w:rsidR="00B2424F">
        <w:rPr>
          <w:rFonts w:asciiTheme="minorHAnsi" w:hAnsiTheme="minorHAnsi"/>
        </w:rPr>
        <w:t xml:space="preserve"> </w:t>
      </w:r>
      <w:r w:rsidR="00D37B4F">
        <w:rPr>
          <w:rFonts w:asciiTheme="minorHAnsi" w:hAnsiTheme="minorHAnsi"/>
        </w:rPr>
        <w:t>and where</w:t>
      </w:r>
      <w:r w:rsidR="006E3DF9">
        <w:rPr>
          <w:rFonts w:asciiTheme="minorHAnsi" w:hAnsiTheme="minorHAnsi"/>
        </w:rPr>
        <w:t xml:space="preserve"> each </w:t>
      </w:r>
      <w:r w:rsidR="00D37A08">
        <w:rPr>
          <w:rFonts w:asciiTheme="minorHAnsi" w:hAnsiTheme="minorHAnsi"/>
        </w:rPr>
        <w:t>s</w:t>
      </w:r>
      <w:r w:rsidR="00D37B4F">
        <w:rPr>
          <w:rFonts w:asciiTheme="minorHAnsi" w:hAnsiTheme="minorHAnsi"/>
        </w:rPr>
        <w:t>ite’s</w:t>
      </w:r>
      <w:r w:rsidR="006E3DF9">
        <w:rPr>
          <w:rFonts w:asciiTheme="minorHAnsi" w:hAnsiTheme="minorHAnsi"/>
        </w:rPr>
        <w:t xml:space="preserve"> model is specified to use a slope parameter that does not change between the pre and post pe</w:t>
      </w:r>
      <w:r w:rsidR="00D37B4F">
        <w:rPr>
          <w:rFonts w:asciiTheme="minorHAnsi" w:hAnsiTheme="minorHAnsi"/>
        </w:rPr>
        <w:t>riods</w:t>
      </w:r>
      <w:r w:rsidR="00AF540D">
        <w:rPr>
          <w:rFonts w:asciiTheme="minorHAnsi" w:hAnsiTheme="minorHAnsi"/>
        </w:rPr>
        <w:t xml:space="preserve">. </w:t>
      </w:r>
      <w:r w:rsidR="00D37B4F">
        <w:rPr>
          <w:rFonts w:asciiTheme="minorHAnsi" w:hAnsiTheme="minorHAnsi"/>
        </w:rPr>
        <w:t>Each site’s savings estimate is then calculated</w:t>
      </w:r>
      <w:r w:rsidR="006E3DF9">
        <w:rPr>
          <w:rFonts w:asciiTheme="minorHAnsi" w:hAnsiTheme="minorHAnsi"/>
        </w:rPr>
        <w:t xml:space="preserve"> based</w:t>
      </w:r>
      <w:r w:rsidR="008A3B8F">
        <w:rPr>
          <w:rFonts w:asciiTheme="minorHAnsi" w:hAnsiTheme="minorHAnsi"/>
        </w:rPr>
        <w:t xml:space="preserve"> on the </w:t>
      </w:r>
      <w:r w:rsidR="008A3B8F" w:rsidRPr="00B2424F">
        <w:rPr>
          <w:rFonts w:asciiTheme="minorHAnsi" w:hAnsiTheme="minorHAnsi"/>
          <w:i/>
        </w:rPr>
        <w:t>off-set</w:t>
      </w:r>
      <w:r w:rsidR="008A3B8F">
        <w:rPr>
          <w:rFonts w:asciiTheme="minorHAnsi" w:hAnsiTheme="minorHAnsi"/>
        </w:rPr>
        <w:t xml:space="preserve"> between </w:t>
      </w:r>
      <w:r w:rsidR="00D37B4F">
        <w:rPr>
          <w:rFonts w:asciiTheme="minorHAnsi" w:hAnsiTheme="minorHAnsi"/>
        </w:rPr>
        <w:t>the</w:t>
      </w:r>
      <w:r w:rsidR="00B2424F">
        <w:rPr>
          <w:rFonts w:asciiTheme="minorHAnsi" w:hAnsiTheme="minorHAnsi"/>
        </w:rPr>
        <w:t xml:space="preserve"> site’s pre</w:t>
      </w:r>
      <w:r w:rsidR="006E3DF9">
        <w:rPr>
          <w:rFonts w:asciiTheme="minorHAnsi" w:hAnsiTheme="minorHAnsi"/>
        </w:rPr>
        <w:t>-</w:t>
      </w:r>
      <w:r w:rsidR="00B2424F">
        <w:rPr>
          <w:rFonts w:asciiTheme="minorHAnsi" w:hAnsiTheme="minorHAnsi"/>
        </w:rPr>
        <w:t xml:space="preserve"> and post</w:t>
      </w:r>
      <w:r w:rsidR="006E3DF9">
        <w:rPr>
          <w:rFonts w:asciiTheme="minorHAnsi" w:hAnsiTheme="minorHAnsi"/>
        </w:rPr>
        <w:t>-retrofit</w:t>
      </w:r>
      <w:r w:rsidR="00B2424F">
        <w:rPr>
          <w:rFonts w:asciiTheme="minorHAnsi" w:hAnsiTheme="minorHAnsi"/>
        </w:rPr>
        <w:t xml:space="preserve"> heating energy trends</w:t>
      </w:r>
      <w:r w:rsidR="00D37A08">
        <w:rPr>
          <w:rFonts w:asciiTheme="minorHAnsi" w:hAnsiTheme="minorHAnsi"/>
        </w:rPr>
        <w:t>.</w:t>
      </w:r>
      <w:r w:rsidR="00D37B4F">
        <w:rPr>
          <w:rStyle w:val="FootnoteReference"/>
          <w:rFonts w:asciiTheme="minorHAnsi" w:hAnsiTheme="minorHAnsi"/>
        </w:rPr>
        <w:footnoteReference w:id="3"/>
      </w:r>
    </w:p>
    <w:p w14:paraId="54BE5C7E" w14:textId="77777777" w:rsidR="006D190B" w:rsidRDefault="004C2293" w:rsidP="006B4870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The second analysis stage estimates t</w:t>
      </w:r>
      <w:r w:rsidR="006E3DF9">
        <w:rPr>
          <w:rFonts w:asciiTheme="minorHAnsi" w:hAnsiTheme="minorHAnsi"/>
        </w:rPr>
        <w:t>he average percent savings using a ratio estimator</w:t>
      </w:r>
      <w:r w:rsidR="006D190B">
        <w:rPr>
          <w:rFonts w:asciiTheme="minorHAnsi" w:hAnsiTheme="minorHAnsi"/>
        </w:rPr>
        <w:t>.</w:t>
      </w:r>
    </w:p>
    <w:p w14:paraId="03ED3A9B" w14:textId="70E322E3" w:rsidR="0020143D" w:rsidRPr="006B4870" w:rsidRDefault="00A2743A" w:rsidP="00BB1067">
      <w:pPr>
        <w:spacing w:after="4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Sample D</w:t>
      </w:r>
      <w:r w:rsidR="008569B4" w:rsidRPr="006B4870">
        <w:rPr>
          <w:rFonts w:asciiTheme="minorHAnsi" w:hAnsiTheme="minorHAnsi"/>
          <w:b/>
          <w:i/>
        </w:rPr>
        <w:t>esign</w:t>
      </w:r>
    </w:p>
    <w:p w14:paraId="7D0B9262" w14:textId="50257293" w:rsidR="0020143D" w:rsidRDefault="004A5210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Using the</w:t>
      </w:r>
      <w:r w:rsidR="00401942" w:rsidRPr="008569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standard sample mean calculations</w:t>
      </w:r>
      <w:r w:rsidR="00401942" w:rsidRPr="008569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</w:t>
      </w:r>
      <w:r w:rsidR="00401942" w:rsidRPr="008569B4">
        <w:rPr>
          <w:rFonts w:asciiTheme="minorHAnsi" w:hAnsiTheme="minorHAnsi"/>
        </w:rPr>
        <w:t>assuming</w:t>
      </w:r>
      <w:r w:rsidR="0020143D">
        <w:rPr>
          <w:rFonts w:asciiTheme="minorHAnsi" w:hAnsiTheme="minorHAnsi"/>
        </w:rPr>
        <w:t xml:space="preserve"> a single-family</w:t>
      </w:r>
      <w:r w:rsidR="00401942" w:rsidRPr="008569B4">
        <w:rPr>
          <w:rFonts w:asciiTheme="minorHAnsi" w:hAnsiTheme="minorHAnsi"/>
        </w:rPr>
        <w:t xml:space="preserve"> coefficient</w:t>
      </w:r>
      <w:r w:rsidR="0020143D">
        <w:rPr>
          <w:rFonts w:asciiTheme="minorHAnsi" w:hAnsiTheme="minorHAnsi"/>
        </w:rPr>
        <w:t xml:space="preserve"> of variation (CV) equal to 3.0</w:t>
      </w:r>
      <w:r>
        <w:rPr>
          <w:rFonts w:asciiTheme="minorHAnsi" w:hAnsiTheme="minorHAnsi"/>
        </w:rPr>
        <w:t xml:space="preserve">, the sample target for </w:t>
      </w:r>
      <w:r w:rsidR="001D5F36">
        <w:rPr>
          <w:rFonts w:asciiTheme="minorHAnsi" w:hAnsiTheme="minorHAnsi"/>
        </w:rPr>
        <w:t>20</w:t>
      </w:r>
      <w:r w:rsidRPr="008569B4">
        <w:rPr>
          <w:rFonts w:asciiTheme="minorHAnsi" w:hAnsiTheme="minorHAnsi"/>
        </w:rPr>
        <w:t xml:space="preserve">% precision </w:t>
      </w:r>
      <w:r w:rsidR="00BB1067">
        <w:rPr>
          <w:rFonts w:asciiTheme="minorHAnsi" w:hAnsiTheme="minorHAnsi"/>
        </w:rPr>
        <w:t>with 90% confidence is 608</w:t>
      </w:r>
      <w:r w:rsidR="0020143D">
        <w:rPr>
          <w:rFonts w:asciiTheme="minorHAnsi" w:hAnsiTheme="minorHAnsi"/>
        </w:rPr>
        <w:t xml:space="preserve"> </w:t>
      </w:r>
      <w:r w:rsidR="00BB1067">
        <w:rPr>
          <w:rFonts w:asciiTheme="minorHAnsi" w:hAnsiTheme="minorHAnsi"/>
        </w:rPr>
        <w:t xml:space="preserve">usable </w:t>
      </w:r>
      <w:r w:rsidR="008D60F3">
        <w:rPr>
          <w:rFonts w:asciiTheme="minorHAnsi" w:hAnsiTheme="minorHAnsi"/>
        </w:rPr>
        <w:t>single-family homes</w:t>
      </w:r>
      <w:r w:rsidR="00AF540D">
        <w:rPr>
          <w:rFonts w:asciiTheme="minorHAnsi" w:hAnsiTheme="minorHAnsi"/>
        </w:rPr>
        <w:t xml:space="preserve">. </w:t>
      </w:r>
      <w:r w:rsidR="0020143D">
        <w:rPr>
          <w:rFonts w:asciiTheme="minorHAnsi" w:hAnsiTheme="minorHAnsi"/>
        </w:rPr>
        <w:t>This CV is based on figures published in (Johnson et al, 2000), which used</w:t>
      </w:r>
      <w:r w:rsidR="0020143D" w:rsidRPr="0020143D">
        <w:rPr>
          <w:rFonts w:asciiTheme="minorHAnsi" w:hAnsiTheme="minorHAnsi"/>
        </w:rPr>
        <w:t xml:space="preserve"> 2-3 mont</w:t>
      </w:r>
      <w:r w:rsidR="0020143D">
        <w:rPr>
          <w:rFonts w:asciiTheme="minorHAnsi" w:hAnsiTheme="minorHAnsi"/>
        </w:rPr>
        <w:t>hs of pre/post end-use metering</w:t>
      </w:r>
      <w:r w:rsidR="00AF540D">
        <w:rPr>
          <w:rFonts w:asciiTheme="minorHAnsi" w:hAnsiTheme="minorHAnsi"/>
        </w:rPr>
        <w:t xml:space="preserve">. </w:t>
      </w:r>
      <w:r w:rsidR="0020143D">
        <w:rPr>
          <w:rFonts w:asciiTheme="minorHAnsi" w:hAnsiTheme="minorHAnsi"/>
        </w:rPr>
        <w:t>This sample estimate assumes</w:t>
      </w:r>
      <w:r w:rsidR="0020143D" w:rsidRPr="0020143D">
        <w:rPr>
          <w:rFonts w:asciiTheme="minorHAnsi" w:hAnsiTheme="minorHAnsi"/>
        </w:rPr>
        <w:t xml:space="preserve"> that one year of day-level AMI data will achieve site-level precision similar 2-3 months of end-use metering</w:t>
      </w:r>
      <w:r w:rsidR="00AF540D">
        <w:rPr>
          <w:rFonts w:asciiTheme="minorHAnsi" w:hAnsiTheme="minorHAnsi"/>
        </w:rPr>
        <w:t xml:space="preserve">. </w:t>
      </w:r>
      <w:r w:rsidR="0020143D">
        <w:rPr>
          <w:rFonts w:asciiTheme="minorHAnsi" w:hAnsiTheme="minorHAnsi"/>
        </w:rPr>
        <w:t xml:space="preserve">Using month-level data, </w:t>
      </w:r>
      <w:r w:rsidR="006750D1">
        <w:rPr>
          <w:rFonts w:asciiTheme="minorHAnsi" w:hAnsiTheme="minorHAnsi"/>
        </w:rPr>
        <w:t xml:space="preserve">the EWEB study </w:t>
      </w:r>
      <w:r w:rsidR="0020143D">
        <w:rPr>
          <w:rFonts w:asciiTheme="minorHAnsi" w:hAnsiTheme="minorHAnsi"/>
        </w:rPr>
        <w:t xml:space="preserve">(Robinson et al, 2002) reports figures that imply roughly twice </w:t>
      </w:r>
      <w:r w:rsidR="00AB54D5">
        <w:rPr>
          <w:rFonts w:asciiTheme="minorHAnsi" w:hAnsiTheme="minorHAnsi"/>
        </w:rPr>
        <w:t>t</w:t>
      </w:r>
      <w:r w:rsidR="006750D1">
        <w:rPr>
          <w:rFonts w:asciiTheme="minorHAnsi" w:hAnsiTheme="minorHAnsi"/>
        </w:rPr>
        <w:t>he</w:t>
      </w:r>
      <w:r w:rsidR="0020143D">
        <w:rPr>
          <w:rFonts w:asciiTheme="minorHAnsi" w:hAnsiTheme="minorHAnsi"/>
        </w:rPr>
        <w:t xml:space="preserve"> CV</w:t>
      </w:r>
      <w:r w:rsidR="006750D1">
        <w:rPr>
          <w:rFonts w:asciiTheme="minorHAnsi" w:hAnsiTheme="minorHAnsi"/>
        </w:rPr>
        <w:t xml:space="preserve"> found by Johnson </w:t>
      </w:r>
      <w:r w:rsidR="006750D1" w:rsidRPr="006750D1">
        <w:rPr>
          <w:rFonts w:asciiTheme="minorHAnsi" w:hAnsiTheme="minorHAnsi"/>
          <w:i/>
        </w:rPr>
        <w:t>et al</w:t>
      </w:r>
      <w:r w:rsidR="00AF540D">
        <w:rPr>
          <w:rFonts w:asciiTheme="minorHAnsi" w:hAnsiTheme="minorHAnsi"/>
        </w:rPr>
        <w:t xml:space="preserve">. </w:t>
      </w:r>
      <w:r w:rsidR="008922C3">
        <w:rPr>
          <w:rFonts w:asciiTheme="minorHAnsi" w:hAnsiTheme="minorHAnsi"/>
        </w:rPr>
        <w:t xml:space="preserve">For </w:t>
      </w:r>
      <w:r w:rsidR="0020143D">
        <w:rPr>
          <w:rFonts w:asciiTheme="minorHAnsi" w:hAnsiTheme="minorHAnsi"/>
        </w:rPr>
        <w:t>month-level data the RTF recommends increasing the sample size by a factor of four</w:t>
      </w:r>
      <w:r w:rsidR="006750D1">
        <w:rPr>
          <w:rFonts w:asciiTheme="minorHAnsi" w:hAnsiTheme="minorHAnsi"/>
        </w:rPr>
        <w:t xml:space="preserve"> </w:t>
      </w:r>
      <w:r w:rsidR="000A125B">
        <w:rPr>
          <w:rFonts w:asciiTheme="minorHAnsi" w:hAnsiTheme="minorHAnsi"/>
        </w:rPr>
        <w:t>(or accepting poor</w:t>
      </w:r>
      <w:r w:rsidR="006750D1">
        <w:rPr>
          <w:rFonts w:asciiTheme="minorHAnsi" w:hAnsiTheme="minorHAnsi"/>
        </w:rPr>
        <w:t>er precision</w:t>
      </w:r>
      <w:r w:rsidR="000A125B">
        <w:rPr>
          <w:rFonts w:asciiTheme="minorHAnsi" w:hAnsiTheme="minorHAnsi"/>
        </w:rPr>
        <w:t>)</w:t>
      </w:r>
      <w:r w:rsidR="0020143D">
        <w:rPr>
          <w:rFonts w:asciiTheme="minorHAnsi" w:hAnsiTheme="minorHAnsi"/>
        </w:rPr>
        <w:t>.</w:t>
      </w:r>
      <w:r w:rsidR="00BB1067">
        <w:rPr>
          <w:rStyle w:val="FootnoteReference"/>
          <w:rFonts w:asciiTheme="minorHAnsi" w:hAnsiTheme="minorHAnsi"/>
        </w:rPr>
        <w:footnoteReference w:id="4"/>
      </w:r>
      <w:r w:rsidR="00FA73C1">
        <w:rPr>
          <w:rFonts w:asciiTheme="minorHAnsi" w:hAnsiTheme="minorHAnsi"/>
        </w:rPr>
        <w:t xml:space="preserve"> </w:t>
      </w:r>
      <w:r w:rsidR="000A125B">
        <w:rPr>
          <w:rFonts w:asciiTheme="minorHAnsi" w:hAnsiTheme="minorHAnsi"/>
        </w:rPr>
        <w:t xml:space="preserve"> </w:t>
      </w:r>
      <w:r w:rsidR="008922C3">
        <w:rPr>
          <w:rFonts w:asciiTheme="minorHAnsi" w:hAnsiTheme="minorHAnsi"/>
        </w:rPr>
        <w:t>This recommendation</w:t>
      </w:r>
      <w:r w:rsidR="0020143D" w:rsidRPr="0020143D">
        <w:rPr>
          <w:rFonts w:asciiTheme="minorHAnsi" w:hAnsiTheme="minorHAnsi"/>
        </w:rPr>
        <w:t xml:space="preserve"> is specific to the present research question and should not be generalized to other contexts.</w:t>
      </w:r>
    </w:p>
    <w:p w14:paraId="29F0FE38" w14:textId="7A18A85D" w:rsidR="00B46D74" w:rsidRDefault="001D5F36" w:rsidP="00A274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Since the average savi</w:t>
      </w:r>
      <w:r w:rsidR="00BB1067">
        <w:rPr>
          <w:rFonts w:asciiTheme="minorHAnsi" w:hAnsiTheme="minorHAnsi"/>
        </w:rPr>
        <w:t>ngs is expected to be</w:t>
      </w:r>
      <w:r>
        <w:rPr>
          <w:rFonts w:asciiTheme="minorHAnsi" w:hAnsiTheme="minorHAnsi"/>
        </w:rPr>
        <w:t xml:space="preserve"> small</w:t>
      </w:r>
      <w:r w:rsidR="00BB1067">
        <w:rPr>
          <w:rFonts w:asciiTheme="minorHAnsi" w:hAnsiTheme="minorHAnsi"/>
        </w:rPr>
        <w:t xml:space="preserve"> relative to potential external effects</w:t>
      </w:r>
      <w:r>
        <w:rPr>
          <w:rFonts w:asciiTheme="minorHAnsi" w:hAnsiTheme="minorHAnsi"/>
        </w:rPr>
        <w:t xml:space="preserve">, researchers are encouraged to include a comparison group in their study </w:t>
      </w:r>
      <w:r w:rsidRPr="001D5F36">
        <w:rPr>
          <w:rFonts w:asciiTheme="minorHAnsi" w:hAnsiTheme="minorHAnsi"/>
        </w:rPr>
        <w:t>design</w:t>
      </w:r>
      <w:r w:rsidR="00AF540D">
        <w:rPr>
          <w:rFonts w:asciiTheme="minorHAnsi" w:hAnsiTheme="minorHAnsi"/>
        </w:rPr>
        <w:t xml:space="preserve">. </w:t>
      </w:r>
      <w:r w:rsidR="00B46D74">
        <w:rPr>
          <w:rFonts w:asciiTheme="minorHAnsi" w:hAnsiTheme="minorHAnsi"/>
        </w:rPr>
        <w:t xml:space="preserve">A comparison group can mitigate the risk of savings estimates being confounded by </w:t>
      </w:r>
      <w:r w:rsidR="00B46D74" w:rsidRPr="00B46D74">
        <w:rPr>
          <w:rFonts w:asciiTheme="minorHAnsi" w:hAnsiTheme="minorHAnsi"/>
        </w:rPr>
        <w:t>macroeconomic or other “tidal” population changes</w:t>
      </w:r>
      <w:r w:rsidR="00AF540D">
        <w:rPr>
          <w:rFonts w:asciiTheme="minorHAnsi" w:hAnsiTheme="minorHAnsi"/>
        </w:rPr>
        <w:t xml:space="preserve">. </w:t>
      </w:r>
      <w:r w:rsidR="00B46D74" w:rsidRPr="00B46D74">
        <w:rPr>
          <w:rFonts w:asciiTheme="minorHAnsi" w:hAnsiTheme="minorHAnsi"/>
        </w:rPr>
        <w:t xml:space="preserve">For instance, </w:t>
      </w:r>
      <w:r w:rsidRPr="00B46D74">
        <w:rPr>
          <w:rFonts w:asciiTheme="minorHAnsi" w:hAnsiTheme="minorHAnsi"/>
        </w:rPr>
        <w:t xml:space="preserve">(Robinson </w:t>
      </w:r>
      <w:r w:rsidRPr="00B46D74">
        <w:rPr>
          <w:rFonts w:asciiTheme="minorHAnsi" w:hAnsiTheme="minorHAnsi"/>
          <w:i/>
        </w:rPr>
        <w:t>et al</w:t>
      </w:r>
      <w:r w:rsidRPr="00B46D74">
        <w:rPr>
          <w:rFonts w:asciiTheme="minorHAnsi" w:hAnsiTheme="minorHAnsi"/>
        </w:rPr>
        <w:t>, 2002)</w:t>
      </w:r>
      <w:r w:rsidR="00B46D74" w:rsidRPr="00B46D74">
        <w:rPr>
          <w:rFonts w:asciiTheme="minorHAnsi" w:hAnsiTheme="minorHAnsi"/>
        </w:rPr>
        <w:t xml:space="preserve"> detected a change in the comparison group’s NAC that was of a similar order of magnitude as the change in the treatment group NAC</w:t>
      </w:r>
      <w:r w:rsidR="00AF540D">
        <w:rPr>
          <w:rFonts w:asciiTheme="minorHAnsi" w:hAnsiTheme="minorHAnsi"/>
        </w:rPr>
        <w:t xml:space="preserve">. </w:t>
      </w:r>
      <w:r w:rsidR="00E22067">
        <w:rPr>
          <w:rFonts w:asciiTheme="minorHAnsi" w:hAnsiTheme="minorHAnsi"/>
        </w:rPr>
        <w:t>To minimize the uncertainty incurred in taking the difference-in-differences, r</w:t>
      </w:r>
      <w:r w:rsidR="00B46D74">
        <w:rPr>
          <w:rFonts w:asciiTheme="minorHAnsi" w:hAnsiTheme="minorHAnsi"/>
        </w:rPr>
        <w:t>esearchers should use the largest comparison group sample that is practical.</w:t>
      </w:r>
    </w:p>
    <w:p w14:paraId="26FC6E37" w14:textId="7A073C33" w:rsidR="00AF540D" w:rsidRDefault="00FA73C1" w:rsidP="00FA73C1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The RTF does not have a solid empirical basis for estimating the MF sample size needed to achieve the 20% precision target</w:t>
      </w:r>
      <w:r w:rsidR="00AF540D">
        <w:rPr>
          <w:rFonts w:asciiTheme="minorHAnsi" w:hAnsiTheme="minorHAnsi"/>
        </w:rPr>
        <w:t xml:space="preserve">. </w:t>
      </w:r>
      <w:r w:rsidR="008922C3">
        <w:rPr>
          <w:rFonts w:asciiTheme="minorHAnsi" w:hAnsiTheme="minorHAnsi"/>
        </w:rPr>
        <w:t>The RTF recommends a sample of approximately 150 whole-building retrofits of multi-family homes</w:t>
      </w:r>
      <w:r w:rsidR="00AF540D">
        <w:rPr>
          <w:rFonts w:asciiTheme="minorHAnsi" w:hAnsiTheme="minorHAnsi"/>
        </w:rPr>
        <w:t xml:space="preserve">. </w:t>
      </w:r>
      <w:r w:rsidR="008922C3">
        <w:rPr>
          <w:rFonts w:asciiTheme="minorHAnsi" w:hAnsiTheme="minorHAnsi"/>
        </w:rPr>
        <w:t xml:space="preserve">This is based on </w:t>
      </w:r>
      <w:r w:rsidR="00AB54D5">
        <w:rPr>
          <w:rFonts w:asciiTheme="minorHAnsi" w:hAnsiTheme="minorHAnsi"/>
        </w:rPr>
        <w:t xml:space="preserve">a </w:t>
      </w:r>
      <w:r w:rsidR="008922C3">
        <w:rPr>
          <w:rFonts w:asciiTheme="minorHAnsi" w:hAnsiTheme="minorHAnsi"/>
        </w:rPr>
        <w:t>qualitative assumption</w:t>
      </w:r>
      <w:r w:rsidR="00AB54D5">
        <w:rPr>
          <w:rFonts w:asciiTheme="minorHAnsi" w:hAnsiTheme="minorHAnsi"/>
        </w:rPr>
        <w:t xml:space="preserve"> that </w:t>
      </w:r>
      <w:r w:rsidR="00643040">
        <w:rPr>
          <w:rFonts w:asciiTheme="minorHAnsi" w:hAnsiTheme="minorHAnsi"/>
        </w:rPr>
        <w:t xml:space="preserve">many </w:t>
      </w:r>
      <w:r w:rsidR="00AB54D5">
        <w:rPr>
          <w:rFonts w:asciiTheme="minorHAnsi" w:hAnsiTheme="minorHAnsi"/>
        </w:rPr>
        <w:t>house</w:t>
      </w:r>
      <w:r w:rsidR="008922C3">
        <w:rPr>
          <w:rFonts w:asciiTheme="minorHAnsi" w:hAnsiTheme="minorHAnsi"/>
        </w:rPr>
        <w:t>hold-level differences will smooth out at the building level</w:t>
      </w:r>
      <w:r w:rsidR="00AF540D">
        <w:rPr>
          <w:rFonts w:asciiTheme="minorHAnsi" w:hAnsiTheme="minorHAnsi"/>
        </w:rPr>
        <w:t xml:space="preserve">. </w:t>
      </w:r>
      <w:r w:rsidR="00C257D4">
        <w:rPr>
          <w:rFonts w:asciiTheme="minorHAnsi" w:hAnsiTheme="minorHAnsi"/>
        </w:rPr>
        <w:t xml:space="preserve">Although some savings factors vary at the household level, others </w:t>
      </w:r>
      <w:r>
        <w:rPr>
          <w:rFonts w:asciiTheme="minorHAnsi" w:hAnsiTheme="minorHAnsi"/>
        </w:rPr>
        <w:t xml:space="preserve">(e.g., </w:t>
      </w:r>
      <w:r w:rsidR="00C257D4">
        <w:rPr>
          <w:rFonts w:asciiTheme="minorHAnsi" w:hAnsiTheme="minorHAnsi"/>
        </w:rPr>
        <w:t>floor-plan and thermostat model</w:t>
      </w:r>
      <w:r>
        <w:rPr>
          <w:rFonts w:asciiTheme="minorHAnsi" w:hAnsiTheme="minorHAnsi"/>
        </w:rPr>
        <w:t>)</w:t>
      </w:r>
      <w:r w:rsidR="00C257D4">
        <w:rPr>
          <w:rFonts w:asciiTheme="minorHAnsi" w:hAnsiTheme="minorHAnsi"/>
        </w:rPr>
        <w:t xml:space="preserve"> vary at the building level</w:t>
      </w:r>
      <w:r w:rsidR="00AF540D">
        <w:rPr>
          <w:rFonts w:asciiTheme="minorHAnsi" w:hAnsiTheme="minorHAnsi"/>
        </w:rPr>
        <w:t xml:space="preserve">. </w:t>
      </w:r>
      <w:r w:rsidR="00C257D4">
        <w:rPr>
          <w:rFonts w:asciiTheme="minorHAnsi" w:hAnsiTheme="minorHAnsi"/>
        </w:rPr>
        <w:t>As a result, th</w:t>
      </w:r>
      <w:r>
        <w:rPr>
          <w:rFonts w:asciiTheme="minorHAnsi" w:hAnsiTheme="minorHAnsi"/>
        </w:rPr>
        <w:t xml:space="preserve">e </w:t>
      </w:r>
      <w:r w:rsidR="00643040">
        <w:rPr>
          <w:rFonts w:asciiTheme="minorHAnsi" w:hAnsiTheme="minorHAnsi"/>
        </w:rPr>
        <w:t xml:space="preserve">RTF recommends an </w:t>
      </w:r>
      <w:r>
        <w:rPr>
          <w:rFonts w:asciiTheme="minorHAnsi" w:hAnsiTheme="minorHAnsi"/>
        </w:rPr>
        <w:t>MF</w:t>
      </w:r>
      <w:r w:rsidR="00C257D4">
        <w:rPr>
          <w:rFonts w:asciiTheme="minorHAnsi" w:hAnsiTheme="minorHAnsi"/>
        </w:rPr>
        <w:t xml:space="preserve"> sample size </w:t>
      </w:r>
      <w:r w:rsidR="00643040">
        <w:rPr>
          <w:rFonts w:asciiTheme="minorHAnsi" w:hAnsiTheme="minorHAnsi"/>
        </w:rPr>
        <w:t>that is somewhat</w:t>
      </w:r>
      <w:r w:rsidR="007E0878">
        <w:rPr>
          <w:rFonts w:asciiTheme="minorHAnsi" w:hAnsiTheme="minorHAnsi"/>
        </w:rPr>
        <w:t xml:space="preserve"> larger than the number of buildings </w:t>
      </w:r>
      <w:r w:rsidR="00C257D4">
        <w:rPr>
          <w:rFonts w:asciiTheme="minorHAnsi" w:hAnsiTheme="minorHAnsi"/>
        </w:rPr>
        <w:t>needed to cover</w:t>
      </w:r>
      <w:r w:rsidR="007E0878">
        <w:rPr>
          <w:rFonts w:asciiTheme="minorHAnsi" w:hAnsiTheme="minorHAnsi"/>
        </w:rPr>
        <w:t xml:space="preserve"> 608 individual dwelling units</w:t>
      </w:r>
      <w:r w:rsidR="00AF540D">
        <w:rPr>
          <w:rFonts w:asciiTheme="minorHAnsi" w:hAnsiTheme="minorHAnsi"/>
        </w:rPr>
        <w:t>.</w:t>
      </w:r>
    </w:p>
    <w:p w14:paraId="45524152" w14:textId="1B0196A1" w:rsidR="00536507" w:rsidRPr="0035171D" w:rsidRDefault="00705157" w:rsidP="0010040A">
      <w:pPr>
        <w:rPr>
          <w:rFonts w:asciiTheme="majorHAnsi" w:hAnsiTheme="majorHAnsi"/>
          <w:b/>
          <w:smallCaps/>
          <w:color w:val="266659"/>
          <w:sz w:val="36"/>
          <w:szCs w:val="36"/>
        </w:rPr>
      </w:pPr>
      <w:r w:rsidRPr="00705157">
        <w:rPr>
          <w:rFonts w:asciiTheme="majorHAnsi" w:hAnsiTheme="majorHAnsi"/>
          <w:b/>
          <w:smallCaps/>
          <w:color w:val="266659"/>
          <w:sz w:val="36"/>
          <w:szCs w:val="36"/>
        </w:rPr>
        <w:t>4. Estimated Cost Range</w:t>
      </w:r>
    </w:p>
    <w:p w14:paraId="1A6F3397" w14:textId="77777777" w:rsidR="00AF540D" w:rsidRDefault="00536507" w:rsidP="0010040A">
      <w:pPr>
        <w:rPr>
          <w:rFonts w:asciiTheme="minorHAnsi" w:hAnsiTheme="minorHAnsi"/>
        </w:rPr>
      </w:pPr>
      <w:r w:rsidRPr="00151FD9">
        <w:rPr>
          <w:rFonts w:asciiTheme="minorHAnsi" w:hAnsiTheme="minorHAnsi"/>
        </w:rPr>
        <w:t xml:space="preserve">The RTF estimates the research described above would </w:t>
      </w:r>
      <w:r w:rsidR="0035171D" w:rsidRPr="00151FD9">
        <w:rPr>
          <w:rFonts w:asciiTheme="minorHAnsi" w:hAnsiTheme="minorHAnsi"/>
        </w:rPr>
        <w:t xml:space="preserve">cost </w:t>
      </w:r>
      <w:r w:rsidRPr="00151FD9">
        <w:rPr>
          <w:rFonts w:asciiTheme="minorHAnsi" w:hAnsiTheme="minorHAnsi"/>
        </w:rPr>
        <w:t>between $</w:t>
      </w:r>
      <w:r w:rsidR="00A2743A">
        <w:rPr>
          <w:rFonts w:asciiTheme="minorHAnsi" w:hAnsiTheme="minorHAnsi"/>
        </w:rPr>
        <w:t>100,000 and $25</w:t>
      </w:r>
      <w:r w:rsidR="00F2338F" w:rsidRPr="00151FD9">
        <w:rPr>
          <w:rFonts w:asciiTheme="minorHAnsi" w:hAnsiTheme="minorHAnsi"/>
        </w:rPr>
        <w:t>0,000</w:t>
      </w:r>
      <w:r w:rsidR="008922C3">
        <w:rPr>
          <w:rFonts w:asciiTheme="minorHAnsi" w:hAnsiTheme="minorHAnsi"/>
        </w:rPr>
        <w:t xml:space="preserve">. This estimate is </w:t>
      </w:r>
      <w:r w:rsidRPr="00151FD9">
        <w:rPr>
          <w:rFonts w:asciiTheme="minorHAnsi" w:hAnsiTheme="minorHAnsi"/>
        </w:rPr>
        <w:t>driven by the</w:t>
      </w:r>
      <w:r w:rsidR="008922C3">
        <w:rPr>
          <w:rFonts w:asciiTheme="minorHAnsi" w:hAnsiTheme="minorHAnsi"/>
        </w:rPr>
        <w:t xml:space="preserve"> data</w:t>
      </w:r>
      <w:r w:rsidR="00A2743A">
        <w:rPr>
          <w:rFonts w:asciiTheme="minorHAnsi" w:hAnsiTheme="minorHAnsi"/>
        </w:rPr>
        <w:t xml:space="preserve"> coordination,</w:t>
      </w:r>
      <w:r w:rsidR="008922C3">
        <w:rPr>
          <w:rFonts w:asciiTheme="minorHAnsi" w:hAnsiTheme="minorHAnsi"/>
        </w:rPr>
        <w:t xml:space="preserve"> management</w:t>
      </w:r>
      <w:r w:rsidR="00A2743A">
        <w:rPr>
          <w:rFonts w:asciiTheme="minorHAnsi" w:hAnsiTheme="minorHAnsi"/>
        </w:rPr>
        <w:t>,</w:t>
      </w:r>
      <w:r w:rsidR="008922C3">
        <w:rPr>
          <w:rFonts w:asciiTheme="minorHAnsi" w:hAnsiTheme="minorHAnsi"/>
        </w:rPr>
        <w:t xml:space="preserve"> and analysis costs</w:t>
      </w:r>
      <w:r w:rsidR="00AF540D">
        <w:rPr>
          <w:rFonts w:asciiTheme="minorHAnsi" w:hAnsiTheme="minorHAnsi"/>
        </w:rPr>
        <w:t xml:space="preserve">. </w:t>
      </w:r>
      <w:r w:rsidR="00A2743A">
        <w:rPr>
          <w:rFonts w:asciiTheme="minorHAnsi" w:hAnsiTheme="minorHAnsi"/>
        </w:rPr>
        <w:t xml:space="preserve">It </w:t>
      </w:r>
      <w:r w:rsidR="008922C3">
        <w:rPr>
          <w:rFonts w:asciiTheme="minorHAnsi" w:hAnsiTheme="minorHAnsi"/>
        </w:rPr>
        <w:t>does not include any program costs</w:t>
      </w:r>
      <w:r w:rsidR="00AF540D">
        <w:rPr>
          <w:rFonts w:asciiTheme="minorHAnsi" w:hAnsiTheme="minorHAnsi"/>
        </w:rPr>
        <w:t>.</w:t>
      </w:r>
    </w:p>
    <w:p w14:paraId="5646E3EF" w14:textId="3D1CF1A6" w:rsidR="0035171D" w:rsidRPr="00151FD9" w:rsidRDefault="0035171D" w:rsidP="0010040A">
      <w:pPr>
        <w:rPr>
          <w:rFonts w:asciiTheme="minorHAnsi" w:hAnsiTheme="minorHAnsi"/>
        </w:rPr>
      </w:pPr>
    </w:p>
    <w:p w14:paraId="78A32841" w14:textId="77777777" w:rsidR="0035171D" w:rsidRDefault="0035171D" w:rsidP="0035171D">
      <w:pPr>
        <w:rPr>
          <w:rFonts w:asciiTheme="minorHAnsi" w:hAnsiTheme="minorHAnsi"/>
          <w:color w:val="A6A6A6" w:themeColor="background1" w:themeShade="A6"/>
        </w:rPr>
      </w:pPr>
      <w:r w:rsidRPr="00151FD9">
        <w:rPr>
          <w:rFonts w:asciiTheme="minorHAnsi" w:hAnsiTheme="minorHAnsi"/>
          <w:color w:val="A6A6A6" w:themeColor="background1" w:themeShade="A6"/>
        </w:rPr>
        <w:t xml:space="preserve">(&lt; $25k) </w:t>
      </w:r>
      <w:r w:rsidRPr="00A2743A">
        <w:rPr>
          <w:rFonts w:asciiTheme="minorHAnsi" w:hAnsiTheme="minorHAnsi"/>
          <w:color w:val="A6A6A6" w:themeColor="background1" w:themeShade="A6"/>
        </w:rPr>
        <w:t>($25k-$100k)</w:t>
      </w:r>
      <w:r w:rsidRPr="00151FD9">
        <w:rPr>
          <w:rFonts w:asciiTheme="minorHAnsi" w:hAnsiTheme="minorHAnsi"/>
        </w:rPr>
        <w:t xml:space="preserve"> </w:t>
      </w:r>
      <w:r w:rsidRPr="00A2743A">
        <w:rPr>
          <w:rFonts w:asciiTheme="minorHAnsi" w:hAnsiTheme="minorHAnsi"/>
          <w:b/>
        </w:rPr>
        <w:t>($100k-$250k)</w:t>
      </w:r>
      <w:r w:rsidRPr="00A2743A">
        <w:rPr>
          <w:rFonts w:asciiTheme="minorHAnsi" w:hAnsiTheme="minorHAnsi"/>
        </w:rPr>
        <w:t xml:space="preserve"> </w:t>
      </w:r>
      <w:r w:rsidRPr="00151FD9">
        <w:rPr>
          <w:rFonts w:asciiTheme="minorHAnsi" w:hAnsiTheme="minorHAnsi"/>
          <w:bCs/>
          <w:color w:val="A6A6A6" w:themeColor="background1" w:themeShade="A6"/>
        </w:rPr>
        <w:t>($250k-$500k)</w:t>
      </w:r>
      <w:r w:rsidRPr="00151FD9">
        <w:rPr>
          <w:rFonts w:asciiTheme="minorHAnsi" w:hAnsiTheme="minorHAnsi"/>
          <w:b/>
          <w:bCs/>
          <w:color w:val="A6A6A6" w:themeColor="background1" w:themeShade="A6"/>
        </w:rPr>
        <w:t xml:space="preserve"> </w:t>
      </w:r>
      <w:r w:rsidRPr="00151FD9">
        <w:rPr>
          <w:rFonts w:asciiTheme="minorHAnsi" w:hAnsiTheme="minorHAnsi"/>
          <w:color w:val="A6A6A6" w:themeColor="background1" w:themeShade="A6"/>
        </w:rPr>
        <w:t>($500k-$1MM) ($1MM-$2MM) (&gt; $2MM)</w:t>
      </w:r>
    </w:p>
    <w:p w14:paraId="264C3D0D" w14:textId="77777777" w:rsidR="0035171D" w:rsidRDefault="0035171D" w:rsidP="0010040A">
      <w:pPr>
        <w:rPr>
          <w:rFonts w:asciiTheme="minorHAnsi" w:hAnsiTheme="minorHAnsi"/>
        </w:rPr>
      </w:pPr>
    </w:p>
    <w:sectPr w:rsidR="0035171D" w:rsidSect="007051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94E1C" w14:textId="77777777" w:rsidR="00B46D74" w:rsidRDefault="00B46D74" w:rsidP="00705157">
      <w:r>
        <w:separator/>
      </w:r>
    </w:p>
  </w:endnote>
  <w:endnote w:type="continuationSeparator" w:id="0">
    <w:p w14:paraId="105BA5DD" w14:textId="77777777" w:rsidR="00B46D74" w:rsidRDefault="00B46D74" w:rsidP="0070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D017D" w14:textId="77777777" w:rsidR="00B46D74" w:rsidRPr="00705157" w:rsidRDefault="00B46D74" w:rsidP="00705157">
    <w:pPr>
      <w:pStyle w:val="Footer"/>
      <w:pBdr>
        <w:top w:val="single" w:sz="12" w:space="1" w:color="266659"/>
      </w:pBdr>
      <w:rPr>
        <w:rFonts w:asciiTheme="majorHAnsi" w:hAnsiTheme="majorHAnsi"/>
        <w:b/>
        <w:color w:val="266659"/>
        <w:sz w:val="20"/>
        <w:szCs w:val="20"/>
      </w:rPr>
    </w:pPr>
    <w:r w:rsidRPr="00705157">
      <w:rPr>
        <w:rFonts w:asciiTheme="majorHAnsi" w:hAnsiTheme="majorHAnsi"/>
        <w:b/>
        <w:color w:val="266659"/>
        <w:sz w:val="20"/>
        <w:szCs w:val="20"/>
      </w:rPr>
      <w:t xml:space="preserve">Research Strategy Template </w:t>
    </w:r>
    <w:r>
      <w:rPr>
        <w:rFonts w:asciiTheme="majorHAnsi" w:hAnsiTheme="majorHAnsi"/>
        <w:b/>
        <w:color w:val="266659"/>
        <w:sz w:val="20"/>
        <w:szCs w:val="20"/>
      </w:rPr>
      <w:tab/>
    </w:r>
    <w:r>
      <w:rPr>
        <w:rFonts w:asciiTheme="majorHAnsi" w:hAnsiTheme="majorHAnsi"/>
        <w:b/>
        <w:color w:val="266659"/>
        <w:sz w:val="20"/>
        <w:szCs w:val="20"/>
      </w:rPr>
      <w:tab/>
    </w:r>
    <w:r w:rsidRPr="00705157">
      <w:rPr>
        <w:rFonts w:asciiTheme="majorHAnsi" w:hAnsiTheme="majorHAnsi"/>
        <w:b/>
        <w:color w:val="266659"/>
        <w:sz w:val="20"/>
        <w:szCs w:val="20"/>
      </w:rPr>
      <w:fldChar w:fldCharType="begin"/>
    </w:r>
    <w:r w:rsidRPr="00705157">
      <w:rPr>
        <w:rFonts w:asciiTheme="majorHAnsi" w:hAnsiTheme="majorHAnsi"/>
        <w:b/>
        <w:color w:val="266659"/>
        <w:sz w:val="20"/>
        <w:szCs w:val="20"/>
      </w:rPr>
      <w:instrText xml:space="preserve"> PAGE   \* MERGEFORMAT </w:instrText>
    </w:r>
    <w:r w:rsidRPr="00705157">
      <w:rPr>
        <w:rFonts w:asciiTheme="majorHAnsi" w:hAnsiTheme="majorHAnsi"/>
        <w:b/>
        <w:color w:val="266659"/>
        <w:sz w:val="20"/>
        <w:szCs w:val="20"/>
      </w:rPr>
      <w:fldChar w:fldCharType="separate"/>
    </w:r>
    <w:r w:rsidR="006D190B">
      <w:rPr>
        <w:rFonts w:asciiTheme="majorHAnsi" w:hAnsiTheme="majorHAnsi"/>
        <w:b/>
        <w:noProof/>
        <w:color w:val="266659"/>
        <w:sz w:val="20"/>
        <w:szCs w:val="20"/>
      </w:rPr>
      <w:t>5</w:t>
    </w:r>
    <w:r w:rsidRPr="00705157">
      <w:rPr>
        <w:rFonts w:asciiTheme="majorHAnsi" w:hAnsiTheme="majorHAnsi"/>
        <w:b/>
        <w:color w:val="2666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CA8B6" w14:textId="77777777" w:rsidR="00B46D74" w:rsidRDefault="00B46D74" w:rsidP="00705157">
      <w:r>
        <w:separator/>
      </w:r>
    </w:p>
  </w:footnote>
  <w:footnote w:type="continuationSeparator" w:id="0">
    <w:p w14:paraId="2C0C6F2B" w14:textId="77777777" w:rsidR="00B46D74" w:rsidRDefault="00B46D74" w:rsidP="00705157">
      <w:r>
        <w:continuationSeparator/>
      </w:r>
    </w:p>
  </w:footnote>
  <w:footnote w:id="1">
    <w:p w14:paraId="760985E0" w14:textId="6C3DB8FC" w:rsidR="00B46D74" w:rsidRDefault="00B46D74" w:rsidP="009A0DD3">
      <w:pPr>
        <w:pStyle w:val="FootnoteText"/>
        <w:ind w:left="432" w:hanging="432"/>
      </w:pPr>
      <w:r>
        <w:rPr>
          <w:rStyle w:val="FootnoteReference"/>
        </w:rPr>
        <w:footnoteRef/>
      </w:r>
      <w:r>
        <w:t xml:space="preserve"> (Robinson </w:t>
      </w:r>
      <w:r w:rsidRPr="000D618A">
        <w:rPr>
          <w:i/>
        </w:rPr>
        <w:t>et al</w:t>
      </w:r>
      <w:r>
        <w:t xml:space="preserve">, 2002) Robinson, D., H. </w:t>
      </w:r>
      <w:proofErr w:type="spellStart"/>
      <w:r>
        <w:t>Reichmuth</w:t>
      </w:r>
      <w:proofErr w:type="spellEnd"/>
      <w:r>
        <w:t xml:space="preserve">, and A. West. </w:t>
      </w:r>
      <w:hyperlink r:id="rId1" w:history="1">
        <w:r w:rsidRPr="006750D1">
          <w:rPr>
            <w:rStyle w:val="Hyperlink"/>
            <w:i/>
          </w:rPr>
          <w:t>Comfort STAT Program Evaluation Final Report</w:t>
        </w:r>
        <w:r w:rsidRPr="006750D1">
          <w:rPr>
            <w:rStyle w:val="Hyperlink"/>
          </w:rPr>
          <w:t>.</w:t>
        </w:r>
      </w:hyperlink>
      <w:r>
        <w:t xml:space="preserve">  Prepared for Eugene Water and Electric Board, 2002.  </w:t>
      </w:r>
    </w:p>
    <w:p w14:paraId="64D81DE6" w14:textId="2008AD4D" w:rsidR="00B46D74" w:rsidRDefault="00B46D74" w:rsidP="009A0D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25EFD">
        <w:rPr>
          <w:sz w:val="20"/>
          <w:szCs w:val="20"/>
        </w:rPr>
        <w:t>(</w:t>
      </w:r>
      <w:r>
        <w:rPr>
          <w:sz w:val="20"/>
          <w:szCs w:val="20"/>
        </w:rPr>
        <w:t xml:space="preserve">Michaud </w:t>
      </w:r>
      <w:r w:rsidRPr="000D618A">
        <w:rPr>
          <w:i/>
          <w:sz w:val="20"/>
          <w:szCs w:val="20"/>
        </w:rPr>
        <w:t>et al</w:t>
      </w:r>
      <w:r>
        <w:rPr>
          <w:sz w:val="20"/>
          <w:szCs w:val="20"/>
        </w:rPr>
        <w:t>, 2009</w:t>
      </w:r>
      <w:r w:rsidRPr="00A25EFD">
        <w:rPr>
          <w:sz w:val="20"/>
          <w:szCs w:val="20"/>
        </w:rPr>
        <w:t xml:space="preserve">) Michaud, N., L. </w:t>
      </w:r>
      <w:proofErr w:type="spellStart"/>
      <w:r w:rsidRPr="00A25EFD">
        <w:rPr>
          <w:sz w:val="20"/>
          <w:szCs w:val="20"/>
        </w:rPr>
        <w:t>Megdal</w:t>
      </w:r>
      <w:proofErr w:type="spellEnd"/>
      <w:r w:rsidRPr="00A25EFD">
        <w:rPr>
          <w:sz w:val="20"/>
          <w:szCs w:val="20"/>
        </w:rPr>
        <w:t xml:space="preserve">, P. </w:t>
      </w:r>
      <w:proofErr w:type="spellStart"/>
      <w:r w:rsidRPr="00A25EFD">
        <w:rPr>
          <w:sz w:val="20"/>
          <w:szCs w:val="20"/>
        </w:rPr>
        <w:t>Baillargeon</w:t>
      </w:r>
      <w:proofErr w:type="spellEnd"/>
      <w:r w:rsidRPr="00A25EF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C. </w:t>
      </w:r>
      <w:proofErr w:type="spellStart"/>
      <w:r>
        <w:rPr>
          <w:sz w:val="20"/>
          <w:szCs w:val="20"/>
        </w:rPr>
        <w:t>Acocella</w:t>
      </w:r>
      <w:proofErr w:type="spellEnd"/>
      <w:r>
        <w:rPr>
          <w:sz w:val="20"/>
          <w:szCs w:val="20"/>
        </w:rPr>
        <w:t xml:space="preserve">.  </w:t>
      </w:r>
      <w:r w:rsidRPr="00A25EFD">
        <w:rPr>
          <w:i/>
          <w:sz w:val="20"/>
          <w:szCs w:val="20"/>
        </w:rPr>
        <w:t>Billing Analysis &amp; Environment that “Re-Sets” Savings for Programmable Thermostats in New Homes.</w:t>
      </w:r>
      <w:r w:rsidRPr="00A25EFD">
        <w:rPr>
          <w:sz w:val="20"/>
          <w:szCs w:val="20"/>
        </w:rPr>
        <w:t xml:space="preserve"> </w:t>
      </w:r>
      <w:r>
        <w:rPr>
          <w:sz w:val="20"/>
          <w:szCs w:val="20"/>
        </w:rPr>
        <w:t>Prepared for Hydro Quebec.  Energy Program Evaluation Conference proceedings, Portland, 2009.</w:t>
      </w:r>
    </w:p>
    <w:p w14:paraId="54262B7A" w14:textId="07ED194D" w:rsidR="00B46D74" w:rsidRPr="00A25EFD" w:rsidRDefault="00B46D74" w:rsidP="009A0D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>
        <w:rPr>
          <w:sz w:val="20"/>
          <w:szCs w:val="20"/>
        </w:rPr>
        <w:t xml:space="preserve">  (Johnson </w:t>
      </w:r>
      <w:r w:rsidRPr="000D618A"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, 2000) Johnson, R., D. </w:t>
      </w:r>
      <w:proofErr w:type="spellStart"/>
      <w:r>
        <w:rPr>
          <w:sz w:val="20"/>
          <w:szCs w:val="20"/>
        </w:rPr>
        <w:t>Bhagani</w:t>
      </w:r>
      <w:proofErr w:type="spellEnd"/>
      <w:r>
        <w:rPr>
          <w:sz w:val="20"/>
          <w:szCs w:val="20"/>
        </w:rPr>
        <w:t xml:space="preserve">, and S. Carlson.  </w:t>
      </w:r>
      <w:r w:rsidRPr="000D618A">
        <w:rPr>
          <w:i/>
          <w:sz w:val="20"/>
          <w:szCs w:val="20"/>
        </w:rPr>
        <w:t>Measured Impact of Mechanical Thermostat Replacement.</w:t>
      </w:r>
      <w:r>
        <w:rPr>
          <w:sz w:val="20"/>
          <w:szCs w:val="20"/>
        </w:rPr>
        <w:t xml:space="preserve">  Prepared for Northeast Utilities.  ACEEE proceedings, 2000.</w:t>
      </w:r>
    </w:p>
  </w:footnote>
  <w:footnote w:id="2">
    <w:p w14:paraId="64F29086" w14:textId="2F6CE9F7" w:rsidR="00BE55F8" w:rsidRDefault="00BE55F8">
      <w:pPr>
        <w:pStyle w:val="FootnoteText"/>
      </w:pPr>
      <w:r>
        <w:rPr>
          <w:rStyle w:val="FootnoteReference"/>
        </w:rPr>
        <w:footnoteRef/>
      </w:r>
      <w:r>
        <w:t xml:space="preserve"> It is not clear to the RTF that this measure’s savings can be detected with reasonable accuracy from any </w:t>
      </w:r>
      <w:r w:rsidR="00643040">
        <w:t xml:space="preserve">practical </w:t>
      </w:r>
      <w:r>
        <w:t>study</w:t>
      </w:r>
      <w:r w:rsidR="00643040">
        <w:t xml:space="preserve"> using monthly billing data.</w:t>
      </w:r>
      <w:r>
        <w:t xml:space="preserve"> </w:t>
      </w:r>
      <w:r w:rsidR="00643040">
        <w:t xml:space="preserve"> Research planners should consider this question carefully before fielding a billing analysis study of this measure.</w:t>
      </w:r>
    </w:p>
  </w:footnote>
  <w:footnote w:id="3">
    <w:p w14:paraId="5D1E7D0C" w14:textId="6ED1CC64" w:rsidR="00D37B4F" w:rsidRDefault="00D37B4F" w:rsidP="00D37B4F">
      <w:pPr>
        <w:pStyle w:val="FootnoteText"/>
      </w:pPr>
      <w:r>
        <w:rPr>
          <w:rStyle w:val="FootnoteReference"/>
        </w:rPr>
        <w:footnoteRef/>
      </w:r>
      <w:r>
        <w:t xml:space="preserve"> Change-point models may be better than VBDD for studying this measure because the savings mechanism is a reduction in interior air temperature. This reduces the interior-exterior </w:t>
      </w:r>
      <w:r>
        <w:rPr>
          <w:rFonts w:cs="Arial"/>
        </w:rPr>
        <w:t>∆</w:t>
      </w:r>
      <w:r>
        <w:t xml:space="preserve">T, which VBDD </w:t>
      </w:r>
      <w:r w:rsidR="00C257D4">
        <w:t>may partially</w:t>
      </w:r>
      <w:r>
        <w:t xml:space="preserve"> account for by selecting a lower</w:t>
      </w:r>
      <w:r w:rsidR="00C257D4">
        <w:t xml:space="preserve"> heating degree </w:t>
      </w:r>
      <w:r>
        <w:t xml:space="preserve">base. </w:t>
      </w:r>
      <w:r w:rsidR="00C257D4">
        <w:t>Thus,</w:t>
      </w:r>
      <w:r>
        <w:t xml:space="preserve"> VBDD </w:t>
      </w:r>
      <w:r w:rsidR="00C257D4">
        <w:t xml:space="preserve">may capture </w:t>
      </w:r>
      <w:r>
        <w:t xml:space="preserve">the basic effect in some combination of </w:t>
      </w:r>
      <w:r w:rsidR="00C257D4">
        <w:t>heating degree</w:t>
      </w:r>
      <w:r>
        <w:t xml:space="preserve">-bases </w:t>
      </w:r>
      <w:r w:rsidR="00C257D4">
        <w:t xml:space="preserve">and </w:t>
      </w:r>
      <w:r>
        <w:t>regression parameters. In a change-point model the change in interior temperature can be represented by parameters that are directly fit by the model, provided the pre/post models are restricted to share a common slope.  See (</w:t>
      </w:r>
      <w:r w:rsidRPr="00AE49C7">
        <w:t>Johnson et al, 2000</w:t>
      </w:r>
      <w:r>
        <w:t>).</w:t>
      </w:r>
    </w:p>
  </w:footnote>
  <w:footnote w:id="4">
    <w:p w14:paraId="4008B4F5" w14:textId="65F1B676" w:rsidR="00BB1067" w:rsidRDefault="00BB1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43A">
        <w:t>Based on 2-3 months of pre/post end-use metering, (</w:t>
      </w:r>
      <w:r w:rsidR="00A2743A" w:rsidRPr="00AE49C7">
        <w:t>Johnson et al, 2000</w:t>
      </w:r>
      <w:r w:rsidR="00A2743A">
        <w:t xml:space="preserve">) derived results that suggest an effective CV of 3.0 for estimated site-specific savings.  This is about half the CV suggested by figures published (Robinson </w:t>
      </w:r>
      <w:r w:rsidR="00A2743A" w:rsidRPr="000D618A">
        <w:rPr>
          <w:i/>
        </w:rPr>
        <w:t>et al</w:t>
      </w:r>
      <w:r w:rsidR="00A2743A">
        <w:t xml:space="preserve">, 2002) which estimated 380 kWh in average NAC savings, and a NAC savings standard deviation of 2400 kWh.  </w:t>
      </w:r>
      <w:r>
        <w:t>Research planners should carefully scrutinize these CV assumptions.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E10"/>
    <w:multiLevelType w:val="hybridMultilevel"/>
    <w:tmpl w:val="FE90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6183"/>
    <w:multiLevelType w:val="hybridMultilevel"/>
    <w:tmpl w:val="3422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2AB"/>
    <w:multiLevelType w:val="hybridMultilevel"/>
    <w:tmpl w:val="360C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165C"/>
    <w:multiLevelType w:val="hybridMultilevel"/>
    <w:tmpl w:val="FB9E9CD6"/>
    <w:lvl w:ilvl="0" w:tplc="490CC0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241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2B858">
      <w:start w:val="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6F8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22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64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632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CE4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E5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3C78EA"/>
    <w:multiLevelType w:val="hybridMultilevel"/>
    <w:tmpl w:val="CA74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06949"/>
    <w:multiLevelType w:val="hybridMultilevel"/>
    <w:tmpl w:val="AB2AFBEA"/>
    <w:lvl w:ilvl="0" w:tplc="DF681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81D1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6FD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8F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48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2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C0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E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CE3BB4"/>
    <w:multiLevelType w:val="hybridMultilevel"/>
    <w:tmpl w:val="60CE21C0"/>
    <w:lvl w:ilvl="0" w:tplc="21064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65D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C09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24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80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E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CF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A7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005591"/>
    <w:multiLevelType w:val="hybridMultilevel"/>
    <w:tmpl w:val="E79C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6C2B"/>
    <w:multiLevelType w:val="hybridMultilevel"/>
    <w:tmpl w:val="FBD2348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53FF15EF"/>
    <w:multiLevelType w:val="hybridMultilevel"/>
    <w:tmpl w:val="59E0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C3E19"/>
    <w:multiLevelType w:val="hybridMultilevel"/>
    <w:tmpl w:val="1A5E045A"/>
    <w:lvl w:ilvl="0" w:tplc="60DC4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A7B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A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4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A1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A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00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83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C8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E536FA"/>
    <w:multiLevelType w:val="hybridMultilevel"/>
    <w:tmpl w:val="C122C1E0"/>
    <w:lvl w:ilvl="0" w:tplc="3D8CA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26F4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26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65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2E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67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2F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C5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4C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F86226"/>
    <w:multiLevelType w:val="hybridMultilevel"/>
    <w:tmpl w:val="4734108A"/>
    <w:lvl w:ilvl="0" w:tplc="F6CA54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6F2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EB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C5E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CA7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ECE1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C89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0CB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609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422197"/>
    <w:multiLevelType w:val="hybridMultilevel"/>
    <w:tmpl w:val="D12AF7E8"/>
    <w:lvl w:ilvl="0" w:tplc="2822FF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C75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C1F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C1D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CBC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25E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65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E58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691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7953CD"/>
    <w:multiLevelType w:val="hybridMultilevel"/>
    <w:tmpl w:val="405E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A56"/>
    <w:multiLevelType w:val="hybridMultilevel"/>
    <w:tmpl w:val="3658534E"/>
    <w:lvl w:ilvl="0" w:tplc="6046D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49F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CF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60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E0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1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25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EE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82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EA31BE"/>
    <w:multiLevelType w:val="hybridMultilevel"/>
    <w:tmpl w:val="01CC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51B51"/>
    <w:multiLevelType w:val="hybridMultilevel"/>
    <w:tmpl w:val="7798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6579E"/>
    <w:multiLevelType w:val="hybridMultilevel"/>
    <w:tmpl w:val="FE4C31AA"/>
    <w:lvl w:ilvl="0" w:tplc="B55AD5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69B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43D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474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6C0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2D4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E48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8A4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4A0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3"/>
  </w:num>
  <w:num w:numId="5">
    <w:abstractNumId w:val="18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17"/>
  </w:num>
  <w:num w:numId="11">
    <w:abstractNumId w:val="5"/>
  </w:num>
  <w:num w:numId="12">
    <w:abstractNumId w:val="1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  <w:num w:numId="17">
    <w:abstractNumId w:val="0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E"/>
    <w:rsid w:val="00075EAD"/>
    <w:rsid w:val="000A125B"/>
    <w:rsid w:val="000B0B7C"/>
    <w:rsid w:val="000B1016"/>
    <w:rsid w:val="000C124A"/>
    <w:rsid w:val="000C248B"/>
    <w:rsid w:val="000C47B8"/>
    <w:rsid w:val="000C633F"/>
    <w:rsid w:val="000D618A"/>
    <w:rsid w:val="0010040A"/>
    <w:rsid w:val="00125A61"/>
    <w:rsid w:val="00126F58"/>
    <w:rsid w:val="00151FD9"/>
    <w:rsid w:val="001600E5"/>
    <w:rsid w:val="00166DB1"/>
    <w:rsid w:val="001830B8"/>
    <w:rsid w:val="0018489A"/>
    <w:rsid w:val="00184CA9"/>
    <w:rsid w:val="001A5C32"/>
    <w:rsid w:val="001C261B"/>
    <w:rsid w:val="001D5F36"/>
    <w:rsid w:val="001F066A"/>
    <w:rsid w:val="001F6231"/>
    <w:rsid w:val="0020143D"/>
    <w:rsid w:val="002259ED"/>
    <w:rsid w:val="0023402B"/>
    <w:rsid w:val="00257F5C"/>
    <w:rsid w:val="0027273B"/>
    <w:rsid w:val="00273BC3"/>
    <w:rsid w:val="00283B68"/>
    <w:rsid w:val="002A721C"/>
    <w:rsid w:val="002B51D4"/>
    <w:rsid w:val="002C7DCD"/>
    <w:rsid w:val="002D5C7D"/>
    <w:rsid w:val="002E4F44"/>
    <w:rsid w:val="002F03FC"/>
    <w:rsid w:val="002F538A"/>
    <w:rsid w:val="002F76BB"/>
    <w:rsid w:val="00305B33"/>
    <w:rsid w:val="00315375"/>
    <w:rsid w:val="00317AFA"/>
    <w:rsid w:val="003431E2"/>
    <w:rsid w:val="0035171D"/>
    <w:rsid w:val="00362946"/>
    <w:rsid w:val="00363E51"/>
    <w:rsid w:val="00367968"/>
    <w:rsid w:val="0037148D"/>
    <w:rsid w:val="00373746"/>
    <w:rsid w:val="00380FC1"/>
    <w:rsid w:val="00387D6E"/>
    <w:rsid w:val="003A15D9"/>
    <w:rsid w:val="003B7059"/>
    <w:rsid w:val="003C0762"/>
    <w:rsid w:val="003D713F"/>
    <w:rsid w:val="003F5D9F"/>
    <w:rsid w:val="00401942"/>
    <w:rsid w:val="00411E0D"/>
    <w:rsid w:val="00416DB1"/>
    <w:rsid w:val="0042088F"/>
    <w:rsid w:val="00423A3A"/>
    <w:rsid w:val="00446281"/>
    <w:rsid w:val="00446760"/>
    <w:rsid w:val="00454AD2"/>
    <w:rsid w:val="00461123"/>
    <w:rsid w:val="00471D11"/>
    <w:rsid w:val="0049075E"/>
    <w:rsid w:val="00493C51"/>
    <w:rsid w:val="004A292D"/>
    <w:rsid w:val="004A5210"/>
    <w:rsid w:val="004C2293"/>
    <w:rsid w:val="004C32CD"/>
    <w:rsid w:val="004C57BC"/>
    <w:rsid w:val="00521A9C"/>
    <w:rsid w:val="00536507"/>
    <w:rsid w:val="00536BF3"/>
    <w:rsid w:val="005835CC"/>
    <w:rsid w:val="005866C6"/>
    <w:rsid w:val="00592327"/>
    <w:rsid w:val="005C4C50"/>
    <w:rsid w:val="005E5AAF"/>
    <w:rsid w:val="005F2B1D"/>
    <w:rsid w:val="00606D87"/>
    <w:rsid w:val="00616CC7"/>
    <w:rsid w:val="00641CF0"/>
    <w:rsid w:val="00643040"/>
    <w:rsid w:val="00646356"/>
    <w:rsid w:val="006646EC"/>
    <w:rsid w:val="0066480D"/>
    <w:rsid w:val="00664AD0"/>
    <w:rsid w:val="006750D1"/>
    <w:rsid w:val="006831D0"/>
    <w:rsid w:val="00684590"/>
    <w:rsid w:val="006B3530"/>
    <w:rsid w:val="006B4870"/>
    <w:rsid w:val="006B660B"/>
    <w:rsid w:val="006D190B"/>
    <w:rsid w:val="006E3DF9"/>
    <w:rsid w:val="006E7CE7"/>
    <w:rsid w:val="00705157"/>
    <w:rsid w:val="007305EA"/>
    <w:rsid w:val="0073772D"/>
    <w:rsid w:val="007409B7"/>
    <w:rsid w:val="007655E3"/>
    <w:rsid w:val="00781160"/>
    <w:rsid w:val="00792702"/>
    <w:rsid w:val="007A15C8"/>
    <w:rsid w:val="007A6F14"/>
    <w:rsid w:val="007C35C7"/>
    <w:rsid w:val="007D244A"/>
    <w:rsid w:val="007E0878"/>
    <w:rsid w:val="007E1CB9"/>
    <w:rsid w:val="007E5B15"/>
    <w:rsid w:val="00830522"/>
    <w:rsid w:val="0083104B"/>
    <w:rsid w:val="008569B4"/>
    <w:rsid w:val="00857681"/>
    <w:rsid w:val="008922C3"/>
    <w:rsid w:val="008A3B8F"/>
    <w:rsid w:val="008D2EFE"/>
    <w:rsid w:val="008D41AB"/>
    <w:rsid w:val="008D60F3"/>
    <w:rsid w:val="00924DED"/>
    <w:rsid w:val="009425B1"/>
    <w:rsid w:val="009905D9"/>
    <w:rsid w:val="009A0DD3"/>
    <w:rsid w:val="009D2522"/>
    <w:rsid w:val="009E0F11"/>
    <w:rsid w:val="009E1DC2"/>
    <w:rsid w:val="009E33CF"/>
    <w:rsid w:val="009E4DA4"/>
    <w:rsid w:val="009F7956"/>
    <w:rsid w:val="00A25EFD"/>
    <w:rsid w:val="00A2743A"/>
    <w:rsid w:val="00A30D42"/>
    <w:rsid w:val="00A31036"/>
    <w:rsid w:val="00A3171E"/>
    <w:rsid w:val="00A3407A"/>
    <w:rsid w:val="00A431A5"/>
    <w:rsid w:val="00A55356"/>
    <w:rsid w:val="00A6338A"/>
    <w:rsid w:val="00A71516"/>
    <w:rsid w:val="00A824B6"/>
    <w:rsid w:val="00A8586A"/>
    <w:rsid w:val="00A95BAE"/>
    <w:rsid w:val="00AB54D5"/>
    <w:rsid w:val="00AC7518"/>
    <w:rsid w:val="00AD283F"/>
    <w:rsid w:val="00AD391C"/>
    <w:rsid w:val="00AE49C7"/>
    <w:rsid w:val="00AF540D"/>
    <w:rsid w:val="00B052A9"/>
    <w:rsid w:val="00B23B78"/>
    <w:rsid w:val="00B2424F"/>
    <w:rsid w:val="00B27597"/>
    <w:rsid w:val="00B30DBA"/>
    <w:rsid w:val="00B46D74"/>
    <w:rsid w:val="00B470C8"/>
    <w:rsid w:val="00B553F1"/>
    <w:rsid w:val="00B62F4D"/>
    <w:rsid w:val="00B67697"/>
    <w:rsid w:val="00B862E5"/>
    <w:rsid w:val="00B87BA0"/>
    <w:rsid w:val="00B94097"/>
    <w:rsid w:val="00BA1DBD"/>
    <w:rsid w:val="00BB1067"/>
    <w:rsid w:val="00BB1C6E"/>
    <w:rsid w:val="00BC7D7C"/>
    <w:rsid w:val="00BD2F22"/>
    <w:rsid w:val="00BD63BB"/>
    <w:rsid w:val="00BE55F8"/>
    <w:rsid w:val="00BE5653"/>
    <w:rsid w:val="00BE62A0"/>
    <w:rsid w:val="00BE7215"/>
    <w:rsid w:val="00BF2A5B"/>
    <w:rsid w:val="00C049BD"/>
    <w:rsid w:val="00C23706"/>
    <w:rsid w:val="00C257D4"/>
    <w:rsid w:val="00C40F75"/>
    <w:rsid w:val="00C74D08"/>
    <w:rsid w:val="00C84AAC"/>
    <w:rsid w:val="00CD3EDE"/>
    <w:rsid w:val="00CD4471"/>
    <w:rsid w:val="00CE40E6"/>
    <w:rsid w:val="00CF199C"/>
    <w:rsid w:val="00D03AC8"/>
    <w:rsid w:val="00D06066"/>
    <w:rsid w:val="00D0679F"/>
    <w:rsid w:val="00D067DB"/>
    <w:rsid w:val="00D10179"/>
    <w:rsid w:val="00D223DE"/>
    <w:rsid w:val="00D262AC"/>
    <w:rsid w:val="00D33C7C"/>
    <w:rsid w:val="00D36D98"/>
    <w:rsid w:val="00D37A08"/>
    <w:rsid w:val="00D37B4F"/>
    <w:rsid w:val="00D45510"/>
    <w:rsid w:val="00D5102F"/>
    <w:rsid w:val="00D570B2"/>
    <w:rsid w:val="00D61B45"/>
    <w:rsid w:val="00D715E9"/>
    <w:rsid w:val="00D7438B"/>
    <w:rsid w:val="00D74F58"/>
    <w:rsid w:val="00DB104E"/>
    <w:rsid w:val="00DD7FE5"/>
    <w:rsid w:val="00DE0E96"/>
    <w:rsid w:val="00E113C1"/>
    <w:rsid w:val="00E127A1"/>
    <w:rsid w:val="00E22067"/>
    <w:rsid w:val="00E26652"/>
    <w:rsid w:val="00E4762B"/>
    <w:rsid w:val="00E71B2A"/>
    <w:rsid w:val="00E72B9D"/>
    <w:rsid w:val="00E81880"/>
    <w:rsid w:val="00E90BCE"/>
    <w:rsid w:val="00E95808"/>
    <w:rsid w:val="00E979D5"/>
    <w:rsid w:val="00EB0343"/>
    <w:rsid w:val="00EC6978"/>
    <w:rsid w:val="00ED0126"/>
    <w:rsid w:val="00ED4402"/>
    <w:rsid w:val="00ED45A4"/>
    <w:rsid w:val="00F22D21"/>
    <w:rsid w:val="00F2338F"/>
    <w:rsid w:val="00F26C52"/>
    <w:rsid w:val="00F9652F"/>
    <w:rsid w:val="00FA35F8"/>
    <w:rsid w:val="00FA73C1"/>
    <w:rsid w:val="00FA7F67"/>
    <w:rsid w:val="00FB45F3"/>
    <w:rsid w:val="00FD418F"/>
    <w:rsid w:val="00FE1FCE"/>
    <w:rsid w:val="00FE2371"/>
    <w:rsid w:val="00FE2FCF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06F8302"/>
  <w15:docId w15:val="{4A6DC864-A220-49BD-B82C-3AC23FD5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68"/>
  </w:style>
  <w:style w:type="paragraph" w:styleId="Heading1">
    <w:name w:val="heading 1"/>
    <w:next w:val="Normal"/>
    <w:qFormat/>
    <w:rsid w:val="00A55356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next w:val="Normal"/>
    <w:qFormat/>
    <w:rsid w:val="00A55356"/>
    <w:pPr>
      <w:outlineLvl w:val="1"/>
    </w:pPr>
    <w:rPr>
      <w:rFonts w:cs="Arial"/>
      <w:iCs/>
      <w:kern w:val="32"/>
      <w:sz w:val="16"/>
      <w:szCs w:val="32"/>
    </w:rPr>
  </w:style>
  <w:style w:type="paragraph" w:styleId="Heading3">
    <w:name w:val="heading 3"/>
    <w:next w:val="Normal"/>
    <w:qFormat/>
    <w:rsid w:val="00A55356"/>
    <w:pPr>
      <w:outlineLvl w:val="2"/>
    </w:pPr>
    <w:rPr>
      <w:rFonts w:cs="Arial"/>
      <w:bCs/>
      <w:iCs/>
      <w:kern w:val="32"/>
      <w:sz w:val="16"/>
      <w:szCs w:val="32"/>
    </w:rPr>
  </w:style>
  <w:style w:type="paragraph" w:styleId="Heading4">
    <w:name w:val="heading 4"/>
    <w:next w:val="Normal"/>
    <w:qFormat/>
    <w:rsid w:val="00A55356"/>
    <w:pPr>
      <w:outlineLvl w:val="3"/>
    </w:pPr>
    <w:rPr>
      <w:rFonts w:cs="Arial"/>
      <w:bCs/>
      <w:iCs/>
      <w:kern w:val="32"/>
      <w:sz w:val="16"/>
      <w:szCs w:val="32"/>
    </w:rPr>
  </w:style>
  <w:style w:type="paragraph" w:styleId="Heading5">
    <w:name w:val="heading 5"/>
    <w:next w:val="Normal"/>
    <w:qFormat/>
    <w:rsid w:val="00A55356"/>
    <w:pPr>
      <w:outlineLvl w:val="4"/>
    </w:pPr>
    <w:rPr>
      <w:rFonts w:cs="Arial"/>
      <w:bCs/>
      <w:iCs/>
      <w:kern w:val="32"/>
      <w:sz w:val="16"/>
      <w:szCs w:val="32"/>
    </w:rPr>
  </w:style>
  <w:style w:type="paragraph" w:styleId="Heading6">
    <w:name w:val="heading 6"/>
    <w:next w:val="Normal"/>
    <w:qFormat/>
    <w:rsid w:val="00A55356"/>
    <w:pPr>
      <w:outlineLvl w:val="5"/>
    </w:pPr>
    <w:rPr>
      <w:rFonts w:cs="Arial"/>
      <w:iCs/>
      <w:kern w:val="32"/>
      <w:sz w:val="16"/>
      <w:szCs w:val="32"/>
    </w:rPr>
  </w:style>
  <w:style w:type="paragraph" w:styleId="Heading7">
    <w:name w:val="heading 7"/>
    <w:next w:val="Normal"/>
    <w:qFormat/>
    <w:rsid w:val="00A55356"/>
    <w:pPr>
      <w:outlineLvl w:val="6"/>
    </w:pPr>
    <w:rPr>
      <w:rFonts w:cs="Arial"/>
      <w:bCs/>
      <w:iCs/>
      <w:kern w:val="32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0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5157"/>
    <w:rPr>
      <w:rFonts w:ascii="Tahoma" w:hAnsi="Tahoma" w:cs="Tahoma"/>
      <w:sz w:val="16"/>
      <w:szCs w:val="16"/>
    </w:rPr>
  </w:style>
  <w:style w:type="paragraph" w:customStyle="1" w:styleId="Heading1noTOC">
    <w:name w:val="Heading 1 noTOC"/>
    <w:basedOn w:val="Heading1"/>
    <w:next w:val="BodyText"/>
    <w:autoRedefine/>
    <w:rsid w:val="00705157"/>
    <w:pPr>
      <w:keepLines/>
      <w:pageBreakBefore/>
      <w:spacing w:before="0" w:after="240"/>
      <w:outlineLvl w:val="9"/>
    </w:pPr>
    <w:rPr>
      <w:rFonts w:ascii="Cambria" w:hAnsi="Cambria" w:cs="Times New Roman"/>
      <w:b/>
      <w:bCs w:val="0"/>
      <w:smallCaps/>
      <w:noProof/>
      <w:color w:val="266659"/>
      <w:kern w:val="0"/>
      <w:sz w:val="42"/>
      <w:szCs w:val="48"/>
    </w:rPr>
  </w:style>
  <w:style w:type="paragraph" w:styleId="BodyText">
    <w:name w:val="Body Text"/>
    <w:basedOn w:val="Normal"/>
    <w:link w:val="BodyTextChar"/>
    <w:rsid w:val="007051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5157"/>
  </w:style>
  <w:style w:type="paragraph" w:styleId="Header">
    <w:name w:val="header"/>
    <w:basedOn w:val="Normal"/>
    <w:link w:val="HeaderChar"/>
    <w:rsid w:val="00705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5157"/>
  </w:style>
  <w:style w:type="paragraph" w:styleId="Footer">
    <w:name w:val="footer"/>
    <w:basedOn w:val="Normal"/>
    <w:link w:val="FooterChar"/>
    <w:uiPriority w:val="99"/>
    <w:rsid w:val="00705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57"/>
  </w:style>
  <w:style w:type="paragraph" w:styleId="ListParagraph">
    <w:name w:val="List Paragraph"/>
    <w:basedOn w:val="Normal"/>
    <w:uiPriority w:val="34"/>
    <w:qFormat/>
    <w:rsid w:val="001A5C32"/>
    <w:pPr>
      <w:ind w:left="720"/>
      <w:contextualSpacing/>
    </w:pPr>
  </w:style>
  <w:style w:type="character" w:styleId="Hyperlink">
    <w:name w:val="Hyperlink"/>
    <w:basedOn w:val="DefaultParagraphFont"/>
    <w:unhideWhenUsed/>
    <w:rsid w:val="00592327"/>
    <w:rPr>
      <w:color w:val="0000FF" w:themeColor="hyperlink"/>
      <w:u w:val="single"/>
    </w:rPr>
  </w:style>
  <w:style w:type="table" w:styleId="TableGrid">
    <w:name w:val="Table Grid"/>
    <w:basedOn w:val="TableNormal"/>
    <w:rsid w:val="0030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305B3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nhideWhenUsed/>
    <w:rsid w:val="00E72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2B9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72B9D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E1F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1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1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1F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97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430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5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0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7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8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2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1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5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6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9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4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5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9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24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5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4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4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5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1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tf.nwcouncil.org/meetings/2016/04/Line%20voltage%20thermostats%20memo%2004-07-16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tf.nwcouncil.org/meetings/2016/04/EWEBfinal_stat_repor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F41B-DD8A-4930-BFA3-6FF37088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E61F1BF7</Template>
  <TotalTime>0</TotalTime>
  <Pages>5</Pages>
  <Words>1570</Words>
  <Characters>9137</Characters>
  <Application>Microsoft Office Word</Application>
  <DocSecurity>0</DocSecurity>
  <Lines>142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Anziano</dc:creator>
  <cp:lastModifiedBy>Garrett Herndon</cp:lastModifiedBy>
  <cp:revision>2</cp:revision>
  <dcterms:created xsi:type="dcterms:W3CDTF">2016-07-08T22:29:00Z</dcterms:created>
  <dcterms:modified xsi:type="dcterms:W3CDTF">2016-07-08T22:29:00Z</dcterms:modified>
</cp:coreProperties>
</file>