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55EF0" w14:textId="77777777" w:rsidR="00484D0B" w:rsidRDefault="00484D0B" w:rsidP="006A7573">
      <w:bookmarkStart w:id="0" w:name="_GoBack"/>
      <w:bookmarkEnd w:id="0"/>
    </w:p>
    <w:p w14:paraId="4AF7D3F6" w14:textId="77777777" w:rsidR="00484D0B" w:rsidRDefault="00484D0B" w:rsidP="006A7573"/>
    <w:p w14:paraId="208B55BE" w14:textId="77777777" w:rsidR="00484D0B" w:rsidRDefault="00484D0B" w:rsidP="006A7573"/>
    <w:p w14:paraId="1C65178B" w14:textId="77777777" w:rsidR="00484D0B" w:rsidRDefault="00484D0B" w:rsidP="006A7573"/>
    <w:p w14:paraId="6D44E7D7" w14:textId="77777777" w:rsidR="00484D0B" w:rsidRDefault="00B549E8" w:rsidP="006A7573">
      <w:r>
        <w:rPr>
          <w:noProof/>
          <w:sz w:val="20"/>
        </w:rPr>
        <w:drawing>
          <wp:inline distT="0" distB="0" distL="0" distR="0" wp14:anchorId="6774CB2D" wp14:editId="06A37D41">
            <wp:extent cx="1371600" cy="641350"/>
            <wp:effectExtent l="19050" t="0" r="0" b="0"/>
            <wp:docPr id="1" name="Picture 1" descr="UTC 2006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C 2006 Logo.jpg"/>
                    <pic:cNvPicPr>
                      <a:picLocks noChangeAspect="1" noChangeArrowheads="1"/>
                    </pic:cNvPicPr>
                  </pic:nvPicPr>
                  <pic:blipFill>
                    <a:blip r:embed="rId11" cstate="print"/>
                    <a:srcRect/>
                    <a:stretch>
                      <a:fillRect/>
                    </a:stretch>
                  </pic:blipFill>
                  <pic:spPr bwMode="auto">
                    <a:xfrm>
                      <a:off x="0" y="0"/>
                      <a:ext cx="1371600" cy="641350"/>
                    </a:xfrm>
                    <a:prstGeom prst="rect">
                      <a:avLst/>
                    </a:prstGeom>
                    <a:noFill/>
                    <a:ln w="9525">
                      <a:noFill/>
                      <a:miter lim="800000"/>
                      <a:headEnd/>
                      <a:tailEnd/>
                    </a:ln>
                  </pic:spPr>
                </pic:pic>
              </a:graphicData>
            </a:graphic>
          </wp:inline>
        </w:drawing>
      </w:r>
    </w:p>
    <w:p w14:paraId="077F13BA" w14:textId="77777777" w:rsidR="00484D0B" w:rsidRDefault="00484D0B" w:rsidP="006A7573"/>
    <w:p w14:paraId="31247A59" w14:textId="77777777" w:rsidR="00484D0B" w:rsidRDefault="00484D0B" w:rsidP="006A7573"/>
    <w:p w14:paraId="5F766F83" w14:textId="77777777" w:rsidR="00484D0B" w:rsidRDefault="00C44DBC" w:rsidP="006A7573">
      <w:r>
        <w:br w:type="column"/>
      </w:r>
    </w:p>
    <w:p w14:paraId="5DA0E3DB" w14:textId="77777777" w:rsidR="00484D0B" w:rsidRDefault="00484D0B" w:rsidP="006A7573"/>
    <w:p w14:paraId="53CE00F1" w14:textId="27567CDD" w:rsidR="008A1B7C" w:rsidRDefault="008A1B7C" w:rsidP="006A7573">
      <w:pPr>
        <w:ind w:left="540"/>
        <w:rPr>
          <w:rFonts w:ascii="Arial" w:hAnsi="Arial"/>
          <w:b/>
          <w:sz w:val="64"/>
        </w:rPr>
      </w:pPr>
      <w:r>
        <w:rPr>
          <w:rFonts w:ascii="Arial" w:hAnsi="Arial"/>
          <w:b/>
          <w:sz w:val="64"/>
        </w:rPr>
        <w:t>Water Company</w:t>
      </w:r>
    </w:p>
    <w:p w14:paraId="25C8CC6C" w14:textId="77777777" w:rsidR="008A1B7C" w:rsidRDefault="008A1B7C" w:rsidP="006A7573">
      <w:pPr>
        <w:ind w:left="540"/>
        <w:rPr>
          <w:rFonts w:ascii="Arial" w:hAnsi="Arial"/>
          <w:b/>
          <w:sz w:val="64"/>
        </w:rPr>
      </w:pPr>
    </w:p>
    <w:p w14:paraId="2357083A" w14:textId="77777777" w:rsidR="008A1B7C" w:rsidRDefault="008A1B7C" w:rsidP="006A7573">
      <w:pPr>
        <w:ind w:left="540"/>
        <w:rPr>
          <w:rFonts w:ascii="Arial" w:hAnsi="Arial"/>
          <w:b/>
          <w:sz w:val="64"/>
        </w:rPr>
      </w:pPr>
      <w:r>
        <w:rPr>
          <w:rFonts w:ascii="Arial" w:hAnsi="Arial"/>
          <w:b/>
          <w:sz w:val="64"/>
        </w:rPr>
        <w:t>General Rate Case Workbook</w:t>
      </w:r>
    </w:p>
    <w:p w14:paraId="001BC26D" w14:textId="77777777" w:rsidR="00484D0B" w:rsidRDefault="00484D0B" w:rsidP="006A7573">
      <w:pPr>
        <w:ind w:left="540"/>
        <w:rPr>
          <w:b/>
          <w:sz w:val="28"/>
        </w:rPr>
      </w:pPr>
    </w:p>
    <w:p w14:paraId="43FE7F41" w14:textId="77777777" w:rsidR="00484D0B" w:rsidRDefault="00484D0B" w:rsidP="006A7573">
      <w:pPr>
        <w:ind w:left="540"/>
        <w:rPr>
          <w:b/>
          <w:sz w:val="28"/>
        </w:rPr>
      </w:pPr>
    </w:p>
    <w:p w14:paraId="1564A82D" w14:textId="77777777" w:rsidR="00484D0B" w:rsidRDefault="00484D0B" w:rsidP="006A7573">
      <w:pPr>
        <w:ind w:left="540"/>
        <w:rPr>
          <w:b/>
          <w:sz w:val="28"/>
        </w:rPr>
      </w:pPr>
    </w:p>
    <w:p w14:paraId="4DA624D2" w14:textId="7153E667" w:rsidR="008A1B7C" w:rsidRPr="00343C9C" w:rsidRDefault="008A1B7C" w:rsidP="008A1B7C">
      <w:pPr>
        <w:ind w:left="540"/>
        <w:rPr>
          <w:b/>
          <w:i/>
          <w:sz w:val="28"/>
          <w:szCs w:val="28"/>
        </w:rPr>
      </w:pPr>
      <w:r w:rsidRPr="00343C9C">
        <w:rPr>
          <w:b/>
          <w:i/>
          <w:sz w:val="28"/>
          <w:szCs w:val="28"/>
        </w:rPr>
        <w:t>USER’S MANUAL</w:t>
      </w:r>
    </w:p>
    <w:p w14:paraId="79DF6A19" w14:textId="77777777" w:rsidR="008A1B7C" w:rsidRPr="00343C9C" w:rsidRDefault="008A1B7C" w:rsidP="00BC74F9">
      <w:pPr>
        <w:ind w:left="540"/>
        <w:rPr>
          <w:sz w:val="28"/>
        </w:rPr>
      </w:pPr>
    </w:p>
    <w:p w14:paraId="47298FCD" w14:textId="77777777" w:rsidR="00484D0B" w:rsidRPr="00BC74F9" w:rsidRDefault="00484D0B" w:rsidP="00BC74F9">
      <w:pPr>
        <w:ind w:left="540"/>
        <w:rPr>
          <w:sz w:val="28"/>
        </w:rPr>
      </w:pPr>
    </w:p>
    <w:p w14:paraId="207E7966" w14:textId="77777777" w:rsidR="00484D0B" w:rsidRDefault="00484D0B" w:rsidP="006A7573">
      <w:pPr>
        <w:ind w:left="540"/>
        <w:rPr>
          <w:sz w:val="28"/>
        </w:rPr>
      </w:pPr>
    </w:p>
    <w:p w14:paraId="2F04144C" w14:textId="77777777" w:rsidR="00484D0B" w:rsidRDefault="00C44DBC" w:rsidP="006A7573">
      <w:pPr>
        <w:ind w:left="540"/>
        <w:rPr>
          <w:sz w:val="28"/>
        </w:rPr>
      </w:pPr>
      <w:r>
        <w:rPr>
          <w:b/>
          <w:sz w:val="28"/>
        </w:rPr>
        <w:t>Washington Utilities and Transportation Commission</w:t>
      </w:r>
    </w:p>
    <w:p w14:paraId="4A8B8412" w14:textId="77777777" w:rsidR="00484D0B" w:rsidRDefault="00484D0B" w:rsidP="006A7573">
      <w:pPr>
        <w:ind w:left="540"/>
        <w:rPr>
          <w:sz w:val="28"/>
        </w:rPr>
      </w:pPr>
    </w:p>
    <w:p w14:paraId="655685EC" w14:textId="77777777" w:rsidR="00484D0B" w:rsidRDefault="00484D0B" w:rsidP="006A7573">
      <w:pPr>
        <w:ind w:left="540"/>
        <w:rPr>
          <w:sz w:val="28"/>
        </w:rPr>
      </w:pPr>
    </w:p>
    <w:p w14:paraId="435C9157" w14:textId="4D8F3549" w:rsidR="00484D0B" w:rsidRDefault="00E744AD" w:rsidP="006A7573">
      <w:pPr>
        <w:ind w:left="540"/>
      </w:pPr>
      <w:r>
        <w:rPr>
          <w:sz w:val="28"/>
        </w:rPr>
        <w:t>June</w:t>
      </w:r>
      <w:r w:rsidR="00597C2F">
        <w:rPr>
          <w:sz w:val="28"/>
        </w:rPr>
        <w:t xml:space="preserve"> </w:t>
      </w:r>
      <w:r>
        <w:rPr>
          <w:sz w:val="28"/>
        </w:rPr>
        <w:t>1</w:t>
      </w:r>
      <w:r w:rsidR="00597C2F">
        <w:rPr>
          <w:sz w:val="28"/>
        </w:rPr>
        <w:t>, 201</w:t>
      </w:r>
      <w:r w:rsidR="00D012C5">
        <w:rPr>
          <w:sz w:val="28"/>
        </w:rPr>
        <w:t>8</w:t>
      </w:r>
    </w:p>
    <w:p w14:paraId="514091F1" w14:textId="77777777" w:rsidR="00484D0B" w:rsidRDefault="00484D0B" w:rsidP="006A7573">
      <w:pPr>
        <w:sectPr w:rsidR="00484D0B">
          <w:pgSz w:w="12240" w:h="15840"/>
          <w:pgMar w:top="1440" w:right="1440" w:bottom="1440" w:left="1440" w:header="720" w:footer="720" w:gutter="0"/>
          <w:pgNumType w:fmt="lowerRoman" w:start="1"/>
          <w:cols w:num="2" w:space="182" w:equalWidth="0">
            <w:col w:w="2160" w:space="182"/>
            <w:col w:w="7013"/>
          </w:cols>
        </w:sectPr>
      </w:pPr>
    </w:p>
    <w:p w14:paraId="352BB480" w14:textId="77777777" w:rsidR="00484D0B" w:rsidRDefault="00C44DBC" w:rsidP="006A7573">
      <w:r>
        <w:rPr>
          <w:b/>
          <w:sz w:val="28"/>
        </w:rPr>
        <w:lastRenderedPageBreak/>
        <w:t>Revision Sheet</w:t>
      </w:r>
    </w:p>
    <w:p w14:paraId="68B86631" w14:textId="77777777" w:rsidR="00484D0B" w:rsidRDefault="00484D0B" w:rsidP="006A7573"/>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2"/>
        <w:gridCol w:w="1319"/>
        <w:gridCol w:w="6599"/>
      </w:tblGrid>
      <w:tr w:rsidR="00484D0B" w14:paraId="1156C69F" w14:textId="77777777">
        <w:tc>
          <w:tcPr>
            <w:tcW w:w="1442" w:type="dxa"/>
            <w:shd w:val="pct20" w:color="auto" w:fill="auto"/>
          </w:tcPr>
          <w:p w14:paraId="053561E3" w14:textId="77777777" w:rsidR="00484D0B" w:rsidRDefault="00C44DBC" w:rsidP="006A7573">
            <w:pPr>
              <w:rPr>
                <w:b/>
              </w:rPr>
            </w:pPr>
            <w:r>
              <w:rPr>
                <w:b/>
              </w:rPr>
              <w:t>Release No.</w:t>
            </w:r>
          </w:p>
        </w:tc>
        <w:tc>
          <w:tcPr>
            <w:tcW w:w="1319" w:type="dxa"/>
            <w:shd w:val="pct20" w:color="auto" w:fill="auto"/>
          </w:tcPr>
          <w:p w14:paraId="6BF8ED25" w14:textId="77777777" w:rsidR="00484D0B" w:rsidRDefault="00C44DBC" w:rsidP="006A7573">
            <w:pPr>
              <w:rPr>
                <w:b/>
              </w:rPr>
            </w:pPr>
            <w:r>
              <w:rPr>
                <w:b/>
              </w:rPr>
              <w:t>Date</w:t>
            </w:r>
          </w:p>
        </w:tc>
        <w:tc>
          <w:tcPr>
            <w:tcW w:w="6599" w:type="dxa"/>
            <w:shd w:val="pct20" w:color="auto" w:fill="auto"/>
          </w:tcPr>
          <w:p w14:paraId="47AEA0AC" w14:textId="77777777" w:rsidR="00484D0B" w:rsidRDefault="00C44DBC" w:rsidP="006A7573">
            <w:pPr>
              <w:rPr>
                <w:b/>
              </w:rPr>
            </w:pPr>
            <w:r>
              <w:rPr>
                <w:b/>
              </w:rPr>
              <w:t>Revision Description</w:t>
            </w:r>
          </w:p>
        </w:tc>
      </w:tr>
      <w:tr w:rsidR="004E374C" w14:paraId="582F6274" w14:textId="77777777">
        <w:tc>
          <w:tcPr>
            <w:tcW w:w="1442" w:type="dxa"/>
          </w:tcPr>
          <w:p w14:paraId="490E76F6" w14:textId="77777777" w:rsidR="004E374C" w:rsidRDefault="004E374C" w:rsidP="006A7573">
            <w:r>
              <w:t>1.0</w:t>
            </w:r>
          </w:p>
        </w:tc>
        <w:tc>
          <w:tcPr>
            <w:tcW w:w="1319" w:type="dxa"/>
          </w:tcPr>
          <w:p w14:paraId="4AF693DB" w14:textId="77777777" w:rsidR="004E374C" w:rsidRDefault="00BA529D" w:rsidP="00BA529D">
            <w:r>
              <w:t>5</w:t>
            </w:r>
            <w:r w:rsidR="004E374C">
              <w:t>/</w:t>
            </w:r>
            <w:r>
              <w:t>1</w:t>
            </w:r>
            <w:r w:rsidR="004E374C">
              <w:t>9/</w:t>
            </w:r>
            <w:r>
              <w:t>1</w:t>
            </w:r>
            <w:r w:rsidR="004E374C">
              <w:t>0</w:t>
            </w:r>
          </w:p>
        </w:tc>
        <w:tc>
          <w:tcPr>
            <w:tcW w:w="6599" w:type="dxa"/>
          </w:tcPr>
          <w:p w14:paraId="70932640" w14:textId="77777777" w:rsidR="004E374C" w:rsidRDefault="004E374C" w:rsidP="006A7573">
            <w:r w:rsidRPr="00563762">
              <w:t>Initial Revision</w:t>
            </w:r>
          </w:p>
        </w:tc>
      </w:tr>
      <w:tr w:rsidR="00484D0B" w14:paraId="738277D7" w14:textId="77777777">
        <w:tc>
          <w:tcPr>
            <w:tcW w:w="1442" w:type="dxa"/>
          </w:tcPr>
          <w:p w14:paraId="2CE0EA10" w14:textId="77777777" w:rsidR="00484D0B" w:rsidRDefault="00D477C4" w:rsidP="006A7573">
            <w:r>
              <w:t>1.1</w:t>
            </w:r>
          </w:p>
        </w:tc>
        <w:tc>
          <w:tcPr>
            <w:tcW w:w="1319" w:type="dxa"/>
          </w:tcPr>
          <w:p w14:paraId="4B802D32" w14:textId="77777777" w:rsidR="00484D0B" w:rsidRDefault="00D477C4" w:rsidP="006A7573">
            <w:r>
              <w:t>8/8/11</w:t>
            </w:r>
          </w:p>
        </w:tc>
        <w:tc>
          <w:tcPr>
            <w:tcW w:w="6599" w:type="dxa"/>
          </w:tcPr>
          <w:p w14:paraId="0F52B8A6" w14:textId="77777777" w:rsidR="00484D0B" w:rsidRDefault="00D80F28" w:rsidP="00D80F28">
            <w:r>
              <w:t>Updated to c</w:t>
            </w:r>
            <w:r w:rsidR="00D477C4">
              <w:t>ompl</w:t>
            </w:r>
            <w:r>
              <w:t>y</w:t>
            </w:r>
            <w:r w:rsidR="00D477C4">
              <w:t xml:space="preserve"> with WAC 480-07-530</w:t>
            </w:r>
          </w:p>
        </w:tc>
      </w:tr>
      <w:tr w:rsidR="00484D0B" w14:paraId="1D9C813A" w14:textId="77777777">
        <w:tc>
          <w:tcPr>
            <w:tcW w:w="1442" w:type="dxa"/>
          </w:tcPr>
          <w:p w14:paraId="6F3C7481" w14:textId="77777777" w:rsidR="00484D0B" w:rsidRDefault="005A7231" w:rsidP="006A7573">
            <w:r>
              <w:t>1.2</w:t>
            </w:r>
          </w:p>
        </w:tc>
        <w:tc>
          <w:tcPr>
            <w:tcW w:w="1319" w:type="dxa"/>
          </w:tcPr>
          <w:p w14:paraId="7D4E6D60" w14:textId="77777777" w:rsidR="005A7231" w:rsidRDefault="00E24C50" w:rsidP="006A7573">
            <w:r>
              <w:t>7</w:t>
            </w:r>
            <w:r w:rsidR="005A7231">
              <w:t>/1</w:t>
            </w:r>
            <w:r>
              <w:t>5</w:t>
            </w:r>
            <w:r w:rsidR="005A7231">
              <w:t>/2013</w:t>
            </w:r>
          </w:p>
        </w:tc>
        <w:tc>
          <w:tcPr>
            <w:tcW w:w="6599" w:type="dxa"/>
          </w:tcPr>
          <w:p w14:paraId="44C6E719" w14:textId="77777777" w:rsidR="00484D0B" w:rsidRDefault="005A7231" w:rsidP="00E24C50">
            <w:r>
              <w:t xml:space="preserve">Updated to </w:t>
            </w:r>
            <w:r w:rsidR="00E24C50">
              <w:t>July 2013</w:t>
            </w:r>
            <w:r>
              <w:t xml:space="preserve"> GRC </w:t>
            </w:r>
            <w:r w:rsidR="007A1A66">
              <w:t>Workbook</w:t>
            </w:r>
            <w:r>
              <w:t xml:space="preserve"> changes</w:t>
            </w:r>
          </w:p>
        </w:tc>
      </w:tr>
      <w:tr w:rsidR="00AB1A83" w14:paraId="6B11AD15" w14:textId="77777777">
        <w:tc>
          <w:tcPr>
            <w:tcW w:w="1442" w:type="dxa"/>
          </w:tcPr>
          <w:p w14:paraId="18164B11" w14:textId="77777777" w:rsidR="00AB1A83" w:rsidRDefault="00AB1A83" w:rsidP="00AB1A83">
            <w:r>
              <w:t>1.3</w:t>
            </w:r>
          </w:p>
        </w:tc>
        <w:tc>
          <w:tcPr>
            <w:tcW w:w="1319" w:type="dxa"/>
          </w:tcPr>
          <w:p w14:paraId="2A4A791C" w14:textId="58C2D6D6" w:rsidR="00AB1A83" w:rsidRDefault="00E744AD" w:rsidP="00E744AD">
            <w:r>
              <w:t>6</w:t>
            </w:r>
            <w:r w:rsidR="00AB1A83">
              <w:t>/1/2017</w:t>
            </w:r>
          </w:p>
        </w:tc>
        <w:tc>
          <w:tcPr>
            <w:tcW w:w="6599" w:type="dxa"/>
          </w:tcPr>
          <w:p w14:paraId="0614E7EA" w14:textId="77777777" w:rsidR="00AB1A83" w:rsidRDefault="009A59F3" w:rsidP="009A59F3">
            <w:r>
              <w:t>Updated to April</w:t>
            </w:r>
            <w:r w:rsidR="00AB1A83">
              <w:t xml:space="preserve"> 2017 GRC Workbook changes</w:t>
            </w:r>
          </w:p>
        </w:tc>
      </w:tr>
      <w:tr w:rsidR="00AB1A83" w14:paraId="7D515EE7" w14:textId="77777777">
        <w:tc>
          <w:tcPr>
            <w:tcW w:w="1442" w:type="dxa"/>
          </w:tcPr>
          <w:p w14:paraId="2029FDDC" w14:textId="09FC1B06" w:rsidR="00AB1A83" w:rsidRDefault="00D012C5" w:rsidP="00AB1A83">
            <w:r>
              <w:t>1.4</w:t>
            </w:r>
          </w:p>
        </w:tc>
        <w:tc>
          <w:tcPr>
            <w:tcW w:w="1319" w:type="dxa"/>
          </w:tcPr>
          <w:p w14:paraId="05FCA4E3" w14:textId="27A55F11" w:rsidR="00AB1A83" w:rsidRDefault="00D012C5" w:rsidP="00AB1A83">
            <w:r>
              <w:t>6/1/2018</w:t>
            </w:r>
          </w:p>
        </w:tc>
        <w:tc>
          <w:tcPr>
            <w:tcW w:w="6599" w:type="dxa"/>
          </w:tcPr>
          <w:p w14:paraId="484E4246" w14:textId="43E62F1B" w:rsidR="00AB1A83" w:rsidRDefault="00D012C5" w:rsidP="00AB1A83">
            <w:r>
              <w:t>Update for Federal taxes under ‘The Tax Cuts and Jobs Act 2017’</w:t>
            </w:r>
          </w:p>
        </w:tc>
      </w:tr>
      <w:tr w:rsidR="00AB1A83" w14:paraId="20E38830" w14:textId="77777777">
        <w:tc>
          <w:tcPr>
            <w:tcW w:w="1442" w:type="dxa"/>
          </w:tcPr>
          <w:p w14:paraId="35B2BE34" w14:textId="77777777" w:rsidR="00AB1A83" w:rsidRDefault="00AB1A83" w:rsidP="00AB1A83"/>
        </w:tc>
        <w:tc>
          <w:tcPr>
            <w:tcW w:w="1319" w:type="dxa"/>
          </w:tcPr>
          <w:p w14:paraId="25379527" w14:textId="77777777" w:rsidR="00AB1A83" w:rsidRDefault="00AB1A83" w:rsidP="00AB1A83"/>
        </w:tc>
        <w:tc>
          <w:tcPr>
            <w:tcW w:w="6599" w:type="dxa"/>
          </w:tcPr>
          <w:p w14:paraId="6061BEDA" w14:textId="77777777" w:rsidR="00AB1A83" w:rsidRDefault="00AB1A83" w:rsidP="00AB1A83"/>
        </w:tc>
      </w:tr>
      <w:tr w:rsidR="00AB1A83" w14:paraId="48C97806" w14:textId="77777777">
        <w:tc>
          <w:tcPr>
            <w:tcW w:w="1442" w:type="dxa"/>
          </w:tcPr>
          <w:p w14:paraId="53EC6EDB" w14:textId="77777777" w:rsidR="00AB1A83" w:rsidRDefault="00AB1A83" w:rsidP="00AB1A83"/>
        </w:tc>
        <w:tc>
          <w:tcPr>
            <w:tcW w:w="1319" w:type="dxa"/>
          </w:tcPr>
          <w:p w14:paraId="3065A419" w14:textId="77777777" w:rsidR="00AB1A83" w:rsidRDefault="00AB1A83" w:rsidP="00AB1A83"/>
        </w:tc>
        <w:tc>
          <w:tcPr>
            <w:tcW w:w="6599" w:type="dxa"/>
          </w:tcPr>
          <w:p w14:paraId="46551312" w14:textId="77777777" w:rsidR="00AB1A83" w:rsidRDefault="00AB1A83" w:rsidP="00AB1A83"/>
        </w:tc>
      </w:tr>
      <w:tr w:rsidR="00AB1A83" w14:paraId="69CE90A3" w14:textId="77777777">
        <w:tc>
          <w:tcPr>
            <w:tcW w:w="1442" w:type="dxa"/>
          </w:tcPr>
          <w:p w14:paraId="740E59E4" w14:textId="77777777" w:rsidR="00AB1A83" w:rsidRDefault="00AB1A83" w:rsidP="00AB1A83"/>
        </w:tc>
        <w:tc>
          <w:tcPr>
            <w:tcW w:w="1319" w:type="dxa"/>
          </w:tcPr>
          <w:p w14:paraId="659B6641" w14:textId="77777777" w:rsidR="00AB1A83" w:rsidRDefault="00AB1A83" w:rsidP="00AB1A83"/>
        </w:tc>
        <w:tc>
          <w:tcPr>
            <w:tcW w:w="6599" w:type="dxa"/>
          </w:tcPr>
          <w:p w14:paraId="15AEB125" w14:textId="77777777" w:rsidR="00AB1A83" w:rsidRDefault="00AB1A83" w:rsidP="00AB1A83"/>
        </w:tc>
      </w:tr>
      <w:tr w:rsidR="00AB1A83" w14:paraId="38B516CD" w14:textId="77777777">
        <w:tc>
          <w:tcPr>
            <w:tcW w:w="1442" w:type="dxa"/>
          </w:tcPr>
          <w:p w14:paraId="348F9FE5" w14:textId="77777777" w:rsidR="00AB1A83" w:rsidRDefault="00AB1A83" w:rsidP="00AB1A83"/>
        </w:tc>
        <w:tc>
          <w:tcPr>
            <w:tcW w:w="1319" w:type="dxa"/>
          </w:tcPr>
          <w:p w14:paraId="04F5F680" w14:textId="77777777" w:rsidR="00AB1A83" w:rsidRDefault="00AB1A83" w:rsidP="00AB1A83"/>
        </w:tc>
        <w:tc>
          <w:tcPr>
            <w:tcW w:w="6599" w:type="dxa"/>
          </w:tcPr>
          <w:p w14:paraId="6AFE4BF6" w14:textId="77777777" w:rsidR="00AB1A83" w:rsidRDefault="00AB1A83" w:rsidP="00AB1A83"/>
        </w:tc>
      </w:tr>
      <w:tr w:rsidR="00AB1A83" w14:paraId="5E2738E2" w14:textId="77777777">
        <w:tc>
          <w:tcPr>
            <w:tcW w:w="1442" w:type="dxa"/>
          </w:tcPr>
          <w:p w14:paraId="163888D2" w14:textId="77777777" w:rsidR="00AB1A83" w:rsidRDefault="00AB1A83" w:rsidP="00AB1A83"/>
        </w:tc>
        <w:tc>
          <w:tcPr>
            <w:tcW w:w="1319" w:type="dxa"/>
          </w:tcPr>
          <w:p w14:paraId="11E5ABAC" w14:textId="77777777" w:rsidR="00AB1A83" w:rsidRDefault="00AB1A83" w:rsidP="00AB1A83"/>
        </w:tc>
        <w:tc>
          <w:tcPr>
            <w:tcW w:w="6599" w:type="dxa"/>
          </w:tcPr>
          <w:p w14:paraId="32F78E9F" w14:textId="77777777" w:rsidR="00AB1A83" w:rsidRDefault="00AB1A83" w:rsidP="00AB1A83"/>
        </w:tc>
      </w:tr>
    </w:tbl>
    <w:p w14:paraId="21BE2F1D" w14:textId="77777777" w:rsidR="00484D0B" w:rsidRDefault="00484D0B" w:rsidP="006A7573"/>
    <w:p w14:paraId="18222C6D" w14:textId="77777777" w:rsidR="00484D0B" w:rsidRDefault="00484D0B" w:rsidP="006A7573"/>
    <w:p w14:paraId="720F109C" w14:textId="77777777" w:rsidR="00484D0B" w:rsidRDefault="00484D0B" w:rsidP="006A7573"/>
    <w:p w14:paraId="46FD27A8" w14:textId="77777777" w:rsidR="00484D0B" w:rsidRDefault="00484D0B" w:rsidP="006A7573">
      <w:pPr>
        <w:sectPr w:rsidR="00484D0B">
          <w:headerReference w:type="default" r:id="rId12"/>
          <w:footerReference w:type="default" r:id="rId13"/>
          <w:pgSz w:w="12240" w:h="15840" w:code="1"/>
          <w:pgMar w:top="1440" w:right="1440" w:bottom="1440" w:left="1440" w:header="720" w:footer="720" w:gutter="0"/>
          <w:pgNumType w:fmt="lowerRoman" w:start="1"/>
          <w:cols w:space="720"/>
        </w:sectPr>
      </w:pPr>
    </w:p>
    <w:p w14:paraId="78E742F3" w14:textId="6C856CA5" w:rsidR="00484D0B" w:rsidRDefault="008A1B7C" w:rsidP="006A7573">
      <w:pPr>
        <w:jc w:val="center"/>
        <w:rPr>
          <w:b/>
          <w:sz w:val="32"/>
        </w:rPr>
      </w:pPr>
      <w:r>
        <w:rPr>
          <w:b/>
          <w:sz w:val="32"/>
        </w:rPr>
        <w:lastRenderedPageBreak/>
        <w:t>Water Company General Rate Case Workbook</w:t>
      </w:r>
    </w:p>
    <w:p w14:paraId="5B006C32" w14:textId="77777777" w:rsidR="00484D0B" w:rsidRDefault="00484D0B" w:rsidP="006A7573">
      <w:pPr>
        <w:jc w:val="center"/>
        <w:rPr>
          <w:b/>
          <w:sz w:val="28"/>
        </w:rPr>
      </w:pPr>
    </w:p>
    <w:p w14:paraId="3A43A72F" w14:textId="77777777" w:rsidR="00484D0B" w:rsidRDefault="00C44DBC" w:rsidP="006A7573">
      <w:pPr>
        <w:jc w:val="center"/>
        <w:rPr>
          <w:sz w:val="28"/>
        </w:rPr>
      </w:pPr>
      <w:r>
        <w:rPr>
          <w:b/>
          <w:sz w:val="28"/>
        </w:rPr>
        <w:t>TABLE OF CONTENTS</w:t>
      </w:r>
    </w:p>
    <w:p w14:paraId="50719AED" w14:textId="77777777" w:rsidR="00484D0B" w:rsidRDefault="00484D0B" w:rsidP="006A7573"/>
    <w:p w14:paraId="315162AC" w14:textId="77777777" w:rsidR="00484D0B" w:rsidRDefault="00C44DBC" w:rsidP="006D0665">
      <w:pPr>
        <w:jc w:val="right"/>
        <w:rPr>
          <w:u w:val="single"/>
        </w:rPr>
      </w:pPr>
      <w:r>
        <w:rPr>
          <w:u w:val="single"/>
        </w:rPr>
        <w:t>Page #</w:t>
      </w:r>
    </w:p>
    <w:p w14:paraId="1A431B88" w14:textId="77777777" w:rsidR="00484D0B" w:rsidRDefault="00484D0B" w:rsidP="006A7573"/>
    <w:p w14:paraId="29C0E13B" w14:textId="77777777" w:rsidR="003B1D7D" w:rsidRDefault="00FC0714">
      <w:pPr>
        <w:pStyle w:val="TOC1"/>
        <w:tabs>
          <w:tab w:val="left" w:pos="720"/>
        </w:tabs>
        <w:rPr>
          <w:rFonts w:asciiTheme="minorHAnsi" w:eastAsiaTheme="minorEastAsia" w:hAnsiTheme="minorHAnsi" w:cstheme="minorBidi"/>
          <w:b w:val="0"/>
          <w:i w:val="0"/>
          <w:noProof/>
          <w:szCs w:val="22"/>
        </w:rPr>
      </w:pPr>
      <w:r w:rsidRPr="0069735A">
        <w:rPr>
          <w:b w:val="0"/>
          <w:i w:val="0"/>
          <w:szCs w:val="22"/>
        </w:rPr>
        <w:fldChar w:fldCharType="begin"/>
      </w:r>
      <w:r w:rsidR="00C44DBC" w:rsidRPr="0069735A">
        <w:rPr>
          <w:b w:val="0"/>
          <w:i w:val="0"/>
          <w:szCs w:val="22"/>
        </w:rPr>
        <w:instrText xml:space="preserve"> TOC \o "1-4" </w:instrText>
      </w:r>
      <w:r w:rsidRPr="0069735A">
        <w:rPr>
          <w:b w:val="0"/>
          <w:i w:val="0"/>
          <w:szCs w:val="22"/>
        </w:rPr>
        <w:fldChar w:fldCharType="separate"/>
      </w:r>
      <w:r w:rsidR="003B1D7D">
        <w:rPr>
          <w:noProof/>
        </w:rPr>
        <w:t>1.0</w:t>
      </w:r>
      <w:r w:rsidR="003B1D7D">
        <w:rPr>
          <w:rFonts w:asciiTheme="minorHAnsi" w:eastAsiaTheme="minorEastAsia" w:hAnsiTheme="minorHAnsi" w:cstheme="minorBidi"/>
          <w:b w:val="0"/>
          <w:i w:val="0"/>
          <w:noProof/>
          <w:szCs w:val="22"/>
        </w:rPr>
        <w:tab/>
      </w:r>
      <w:r w:rsidR="003B1D7D">
        <w:rPr>
          <w:noProof/>
        </w:rPr>
        <w:t>GENERAL INFORMATION</w:t>
      </w:r>
      <w:r w:rsidR="003B1D7D">
        <w:rPr>
          <w:noProof/>
        </w:rPr>
        <w:tab/>
      </w:r>
      <w:r w:rsidR="003B1D7D">
        <w:rPr>
          <w:noProof/>
        </w:rPr>
        <w:fldChar w:fldCharType="begin"/>
      </w:r>
      <w:r w:rsidR="003B1D7D">
        <w:rPr>
          <w:noProof/>
        </w:rPr>
        <w:instrText xml:space="preserve"> PAGEREF _Toc477173628 \h </w:instrText>
      </w:r>
      <w:r w:rsidR="003B1D7D">
        <w:rPr>
          <w:noProof/>
        </w:rPr>
      </w:r>
      <w:r w:rsidR="003B1D7D">
        <w:rPr>
          <w:noProof/>
        </w:rPr>
        <w:fldChar w:fldCharType="separate"/>
      </w:r>
      <w:r w:rsidR="0035603D">
        <w:rPr>
          <w:noProof/>
        </w:rPr>
        <w:t>1-1</w:t>
      </w:r>
      <w:r w:rsidR="003B1D7D">
        <w:rPr>
          <w:noProof/>
        </w:rPr>
        <w:fldChar w:fldCharType="end"/>
      </w:r>
    </w:p>
    <w:p w14:paraId="678D667A" w14:textId="77777777" w:rsidR="003B1D7D" w:rsidRDefault="003B1D7D">
      <w:pPr>
        <w:pStyle w:val="TOC2"/>
        <w:tabs>
          <w:tab w:val="left" w:pos="960"/>
        </w:tabs>
        <w:rPr>
          <w:rFonts w:asciiTheme="minorHAnsi" w:eastAsiaTheme="minorEastAsia" w:hAnsiTheme="minorHAnsi" w:cstheme="minorBidi"/>
          <w:b w:val="0"/>
          <w:noProof/>
          <w:szCs w:val="22"/>
        </w:rPr>
      </w:pPr>
      <w:r>
        <w:rPr>
          <w:noProof/>
        </w:rPr>
        <w:t>1.1</w:t>
      </w:r>
      <w:r>
        <w:rPr>
          <w:rFonts w:asciiTheme="minorHAnsi" w:eastAsiaTheme="minorEastAsia" w:hAnsiTheme="minorHAnsi" w:cstheme="minorBidi"/>
          <w:b w:val="0"/>
          <w:noProof/>
          <w:szCs w:val="22"/>
        </w:rPr>
        <w:tab/>
      </w:r>
      <w:r>
        <w:rPr>
          <w:noProof/>
        </w:rPr>
        <w:t>General Rate Case Workbook Overview</w:t>
      </w:r>
      <w:r>
        <w:rPr>
          <w:noProof/>
        </w:rPr>
        <w:tab/>
      </w:r>
      <w:r>
        <w:rPr>
          <w:noProof/>
        </w:rPr>
        <w:fldChar w:fldCharType="begin"/>
      </w:r>
      <w:r>
        <w:rPr>
          <w:noProof/>
        </w:rPr>
        <w:instrText xml:space="preserve"> PAGEREF _Toc477173629 \h </w:instrText>
      </w:r>
      <w:r>
        <w:rPr>
          <w:noProof/>
        </w:rPr>
      </w:r>
      <w:r>
        <w:rPr>
          <w:noProof/>
        </w:rPr>
        <w:fldChar w:fldCharType="separate"/>
      </w:r>
      <w:r w:rsidR="0035603D">
        <w:rPr>
          <w:noProof/>
        </w:rPr>
        <w:t>1-1</w:t>
      </w:r>
      <w:r>
        <w:rPr>
          <w:noProof/>
        </w:rPr>
        <w:fldChar w:fldCharType="end"/>
      </w:r>
    </w:p>
    <w:p w14:paraId="36A1528D" w14:textId="77777777" w:rsidR="003B1D7D" w:rsidRDefault="003B1D7D">
      <w:pPr>
        <w:pStyle w:val="TOC2"/>
        <w:tabs>
          <w:tab w:val="left" w:pos="960"/>
        </w:tabs>
        <w:rPr>
          <w:rFonts w:asciiTheme="minorHAnsi" w:eastAsiaTheme="minorEastAsia" w:hAnsiTheme="minorHAnsi" w:cstheme="minorBidi"/>
          <w:b w:val="0"/>
          <w:noProof/>
          <w:szCs w:val="22"/>
        </w:rPr>
      </w:pPr>
      <w:r>
        <w:rPr>
          <w:noProof/>
        </w:rPr>
        <w:t>1.2</w:t>
      </w:r>
      <w:r>
        <w:rPr>
          <w:rFonts w:asciiTheme="minorHAnsi" w:eastAsiaTheme="minorEastAsia" w:hAnsiTheme="minorHAnsi" w:cstheme="minorBidi"/>
          <w:b w:val="0"/>
          <w:noProof/>
          <w:szCs w:val="22"/>
        </w:rPr>
        <w:tab/>
      </w:r>
      <w:r>
        <w:rPr>
          <w:noProof/>
        </w:rPr>
        <w:t>Completion Time for GRCW</w:t>
      </w:r>
      <w:r>
        <w:rPr>
          <w:noProof/>
        </w:rPr>
        <w:tab/>
      </w:r>
      <w:r>
        <w:rPr>
          <w:noProof/>
        </w:rPr>
        <w:fldChar w:fldCharType="begin"/>
      </w:r>
      <w:r>
        <w:rPr>
          <w:noProof/>
        </w:rPr>
        <w:instrText xml:space="preserve"> PAGEREF _Toc477173630 \h </w:instrText>
      </w:r>
      <w:r>
        <w:rPr>
          <w:noProof/>
        </w:rPr>
      </w:r>
      <w:r>
        <w:rPr>
          <w:noProof/>
        </w:rPr>
        <w:fldChar w:fldCharType="separate"/>
      </w:r>
      <w:r w:rsidR="0035603D">
        <w:rPr>
          <w:noProof/>
        </w:rPr>
        <w:t>1-1</w:t>
      </w:r>
      <w:r>
        <w:rPr>
          <w:noProof/>
        </w:rPr>
        <w:fldChar w:fldCharType="end"/>
      </w:r>
    </w:p>
    <w:p w14:paraId="65E8CB34" w14:textId="77777777" w:rsidR="003B1D7D" w:rsidRDefault="003B1D7D">
      <w:pPr>
        <w:pStyle w:val="TOC2"/>
        <w:tabs>
          <w:tab w:val="left" w:pos="960"/>
        </w:tabs>
        <w:rPr>
          <w:rFonts w:asciiTheme="minorHAnsi" w:eastAsiaTheme="minorEastAsia" w:hAnsiTheme="minorHAnsi" w:cstheme="minorBidi"/>
          <w:b w:val="0"/>
          <w:noProof/>
          <w:szCs w:val="22"/>
        </w:rPr>
      </w:pPr>
      <w:r>
        <w:rPr>
          <w:noProof/>
        </w:rPr>
        <w:t>1.3</w:t>
      </w:r>
      <w:r>
        <w:rPr>
          <w:rFonts w:asciiTheme="minorHAnsi" w:eastAsiaTheme="minorEastAsia" w:hAnsiTheme="minorHAnsi" w:cstheme="minorBidi"/>
          <w:b w:val="0"/>
          <w:noProof/>
          <w:szCs w:val="22"/>
        </w:rPr>
        <w:tab/>
      </w:r>
      <w:r>
        <w:rPr>
          <w:noProof/>
        </w:rPr>
        <w:t>Point of Contact</w:t>
      </w:r>
      <w:r>
        <w:rPr>
          <w:noProof/>
        </w:rPr>
        <w:tab/>
      </w:r>
      <w:r>
        <w:rPr>
          <w:noProof/>
        </w:rPr>
        <w:fldChar w:fldCharType="begin"/>
      </w:r>
      <w:r>
        <w:rPr>
          <w:noProof/>
        </w:rPr>
        <w:instrText xml:space="preserve"> PAGEREF _Toc477173631 \h </w:instrText>
      </w:r>
      <w:r>
        <w:rPr>
          <w:noProof/>
        </w:rPr>
      </w:r>
      <w:r>
        <w:rPr>
          <w:noProof/>
        </w:rPr>
        <w:fldChar w:fldCharType="separate"/>
      </w:r>
      <w:r w:rsidR="0035603D">
        <w:rPr>
          <w:noProof/>
        </w:rPr>
        <w:t>1-1</w:t>
      </w:r>
      <w:r>
        <w:rPr>
          <w:noProof/>
        </w:rPr>
        <w:fldChar w:fldCharType="end"/>
      </w:r>
    </w:p>
    <w:p w14:paraId="2EC87DE2" w14:textId="77777777" w:rsidR="003B1D7D" w:rsidRDefault="003B1D7D">
      <w:pPr>
        <w:pStyle w:val="TOC2"/>
        <w:tabs>
          <w:tab w:val="left" w:pos="960"/>
        </w:tabs>
        <w:rPr>
          <w:rFonts w:asciiTheme="minorHAnsi" w:eastAsiaTheme="minorEastAsia" w:hAnsiTheme="minorHAnsi" w:cstheme="minorBidi"/>
          <w:b w:val="0"/>
          <w:noProof/>
          <w:szCs w:val="22"/>
        </w:rPr>
      </w:pPr>
      <w:r>
        <w:rPr>
          <w:noProof/>
        </w:rPr>
        <w:t>1.4</w:t>
      </w:r>
      <w:r>
        <w:rPr>
          <w:rFonts w:asciiTheme="minorHAnsi" w:eastAsiaTheme="minorEastAsia" w:hAnsiTheme="minorHAnsi" w:cstheme="minorBidi"/>
          <w:b w:val="0"/>
          <w:noProof/>
          <w:szCs w:val="22"/>
        </w:rPr>
        <w:tab/>
      </w:r>
      <w:r>
        <w:rPr>
          <w:noProof/>
        </w:rPr>
        <w:t>Required Documents</w:t>
      </w:r>
      <w:r>
        <w:rPr>
          <w:noProof/>
        </w:rPr>
        <w:tab/>
      </w:r>
      <w:r>
        <w:rPr>
          <w:noProof/>
        </w:rPr>
        <w:fldChar w:fldCharType="begin"/>
      </w:r>
      <w:r>
        <w:rPr>
          <w:noProof/>
        </w:rPr>
        <w:instrText xml:space="preserve"> PAGEREF _Toc477173632 \h </w:instrText>
      </w:r>
      <w:r>
        <w:rPr>
          <w:noProof/>
        </w:rPr>
      </w:r>
      <w:r>
        <w:rPr>
          <w:noProof/>
        </w:rPr>
        <w:fldChar w:fldCharType="separate"/>
      </w:r>
      <w:r w:rsidR="0035603D">
        <w:rPr>
          <w:noProof/>
        </w:rPr>
        <w:t>1-2</w:t>
      </w:r>
      <w:r>
        <w:rPr>
          <w:noProof/>
        </w:rPr>
        <w:fldChar w:fldCharType="end"/>
      </w:r>
    </w:p>
    <w:p w14:paraId="5C920178" w14:textId="77777777" w:rsidR="003B1D7D" w:rsidRDefault="003B1D7D">
      <w:pPr>
        <w:pStyle w:val="TOC2"/>
        <w:tabs>
          <w:tab w:val="left" w:pos="960"/>
        </w:tabs>
        <w:rPr>
          <w:rFonts w:asciiTheme="minorHAnsi" w:eastAsiaTheme="minorEastAsia" w:hAnsiTheme="minorHAnsi" w:cstheme="minorBidi"/>
          <w:b w:val="0"/>
          <w:noProof/>
          <w:szCs w:val="22"/>
        </w:rPr>
      </w:pPr>
      <w:r>
        <w:rPr>
          <w:noProof/>
        </w:rPr>
        <w:t>1.5</w:t>
      </w:r>
      <w:r>
        <w:rPr>
          <w:rFonts w:asciiTheme="minorHAnsi" w:eastAsiaTheme="minorEastAsia" w:hAnsiTheme="minorHAnsi" w:cstheme="minorBidi"/>
          <w:b w:val="0"/>
          <w:noProof/>
          <w:szCs w:val="22"/>
        </w:rPr>
        <w:tab/>
      </w:r>
      <w:r>
        <w:rPr>
          <w:noProof/>
        </w:rPr>
        <w:t>Acronyms and Abbreviations</w:t>
      </w:r>
      <w:r>
        <w:rPr>
          <w:noProof/>
        </w:rPr>
        <w:tab/>
      </w:r>
      <w:r>
        <w:rPr>
          <w:noProof/>
        </w:rPr>
        <w:fldChar w:fldCharType="begin"/>
      </w:r>
      <w:r>
        <w:rPr>
          <w:noProof/>
        </w:rPr>
        <w:instrText xml:space="preserve"> PAGEREF _Toc477173633 \h </w:instrText>
      </w:r>
      <w:r>
        <w:rPr>
          <w:noProof/>
        </w:rPr>
      </w:r>
      <w:r>
        <w:rPr>
          <w:noProof/>
        </w:rPr>
        <w:fldChar w:fldCharType="separate"/>
      </w:r>
      <w:r w:rsidR="0035603D">
        <w:rPr>
          <w:noProof/>
        </w:rPr>
        <w:t>1-2</w:t>
      </w:r>
      <w:r>
        <w:rPr>
          <w:noProof/>
        </w:rPr>
        <w:fldChar w:fldCharType="end"/>
      </w:r>
    </w:p>
    <w:p w14:paraId="684F458A" w14:textId="77777777" w:rsidR="003B1D7D" w:rsidRDefault="003B1D7D">
      <w:pPr>
        <w:pStyle w:val="TOC1"/>
        <w:tabs>
          <w:tab w:val="left" w:pos="720"/>
        </w:tabs>
        <w:rPr>
          <w:rFonts w:asciiTheme="minorHAnsi" w:eastAsiaTheme="minorEastAsia" w:hAnsiTheme="minorHAnsi" w:cstheme="minorBidi"/>
          <w:b w:val="0"/>
          <w:i w:val="0"/>
          <w:noProof/>
          <w:szCs w:val="22"/>
        </w:rPr>
      </w:pPr>
      <w:r>
        <w:rPr>
          <w:noProof/>
        </w:rPr>
        <w:t>2.0</w:t>
      </w:r>
      <w:r>
        <w:rPr>
          <w:rFonts w:asciiTheme="minorHAnsi" w:eastAsiaTheme="minorEastAsia" w:hAnsiTheme="minorHAnsi" w:cstheme="minorBidi"/>
          <w:b w:val="0"/>
          <w:i w:val="0"/>
          <w:noProof/>
          <w:szCs w:val="22"/>
        </w:rPr>
        <w:tab/>
      </w:r>
      <w:r>
        <w:rPr>
          <w:noProof/>
        </w:rPr>
        <w:t>SYSTEM SUMMARY</w:t>
      </w:r>
      <w:r>
        <w:rPr>
          <w:noProof/>
        </w:rPr>
        <w:tab/>
      </w:r>
      <w:r>
        <w:rPr>
          <w:noProof/>
        </w:rPr>
        <w:fldChar w:fldCharType="begin"/>
      </w:r>
      <w:r>
        <w:rPr>
          <w:noProof/>
        </w:rPr>
        <w:instrText xml:space="preserve"> PAGEREF _Toc477173634 \h </w:instrText>
      </w:r>
      <w:r>
        <w:rPr>
          <w:noProof/>
        </w:rPr>
      </w:r>
      <w:r>
        <w:rPr>
          <w:noProof/>
        </w:rPr>
        <w:fldChar w:fldCharType="separate"/>
      </w:r>
      <w:r w:rsidR="0035603D">
        <w:rPr>
          <w:noProof/>
        </w:rPr>
        <w:t>2-1</w:t>
      </w:r>
      <w:r>
        <w:rPr>
          <w:noProof/>
        </w:rPr>
        <w:fldChar w:fldCharType="end"/>
      </w:r>
    </w:p>
    <w:p w14:paraId="442B9D05" w14:textId="77777777" w:rsidR="003B1D7D" w:rsidRDefault="003B1D7D">
      <w:pPr>
        <w:pStyle w:val="TOC2"/>
        <w:tabs>
          <w:tab w:val="left" w:pos="960"/>
        </w:tabs>
        <w:rPr>
          <w:rFonts w:asciiTheme="minorHAnsi" w:eastAsiaTheme="minorEastAsia" w:hAnsiTheme="minorHAnsi" w:cstheme="minorBidi"/>
          <w:b w:val="0"/>
          <w:noProof/>
          <w:szCs w:val="22"/>
        </w:rPr>
      </w:pPr>
      <w:r>
        <w:rPr>
          <w:noProof/>
        </w:rPr>
        <w:t>2.1</w:t>
      </w:r>
      <w:r>
        <w:rPr>
          <w:rFonts w:asciiTheme="minorHAnsi" w:eastAsiaTheme="minorEastAsia" w:hAnsiTheme="minorHAnsi" w:cstheme="minorBidi"/>
          <w:b w:val="0"/>
          <w:noProof/>
          <w:szCs w:val="22"/>
        </w:rPr>
        <w:tab/>
      </w:r>
      <w:r>
        <w:rPr>
          <w:noProof/>
        </w:rPr>
        <w:t>System Configuration</w:t>
      </w:r>
      <w:r>
        <w:rPr>
          <w:noProof/>
        </w:rPr>
        <w:tab/>
      </w:r>
      <w:r>
        <w:rPr>
          <w:noProof/>
        </w:rPr>
        <w:fldChar w:fldCharType="begin"/>
      </w:r>
      <w:r>
        <w:rPr>
          <w:noProof/>
        </w:rPr>
        <w:instrText xml:space="preserve"> PAGEREF _Toc477173635 \h </w:instrText>
      </w:r>
      <w:r>
        <w:rPr>
          <w:noProof/>
        </w:rPr>
      </w:r>
      <w:r>
        <w:rPr>
          <w:noProof/>
        </w:rPr>
        <w:fldChar w:fldCharType="separate"/>
      </w:r>
      <w:r w:rsidR="0035603D">
        <w:rPr>
          <w:noProof/>
        </w:rPr>
        <w:t>2-1</w:t>
      </w:r>
      <w:r>
        <w:rPr>
          <w:noProof/>
        </w:rPr>
        <w:fldChar w:fldCharType="end"/>
      </w:r>
    </w:p>
    <w:p w14:paraId="58339325" w14:textId="77777777" w:rsidR="003B1D7D" w:rsidRDefault="003B1D7D">
      <w:pPr>
        <w:pStyle w:val="TOC2"/>
        <w:tabs>
          <w:tab w:val="left" w:pos="960"/>
        </w:tabs>
        <w:rPr>
          <w:rFonts w:asciiTheme="minorHAnsi" w:eastAsiaTheme="minorEastAsia" w:hAnsiTheme="minorHAnsi" w:cstheme="minorBidi"/>
          <w:b w:val="0"/>
          <w:noProof/>
          <w:szCs w:val="22"/>
        </w:rPr>
      </w:pPr>
      <w:r>
        <w:rPr>
          <w:noProof/>
        </w:rPr>
        <w:t>2.2</w:t>
      </w:r>
      <w:r>
        <w:rPr>
          <w:rFonts w:asciiTheme="minorHAnsi" w:eastAsiaTheme="minorEastAsia" w:hAnsiTheme="minorHAnsi" w:cstheme="minorBidi"/>
          <w:b w:val="0"/>
          <w:noProof/>
          <w:szCs w:val="22"/>
        </w:rPr>
        <w:tab/>
      </w:r>
      <w:r>
        <w:rPr>
          <w:noProof/>
        </w:rPr>
        <w:t>Software Requirements</w:t>
      </w:r>
      <w:r>
        <w:rPr>
          <w:noProof/>
        </w:rPr>
        <w:tab/>
      </w:r>
      <w:r>
        <w:rPr>
          <w:noProof/>
        </w:rPr>
        <w:fldChar w:fldCharType="begin"/>
      </w:r>
      <w:r>
        <w:rPr>
          <w:noProof/>
        </w:rPr>
        <w:instrText xml:space="preserve"> PAGEREF _Toc477173636 \h </w:instrText>
      </w:r>
      <w:r>
        <w:rPr>
          <w:noProof/>
        </w:rPr>
      </w:r>
      <w:r>
        <w:rPr>
          <w:noProof/>
        </w:rPr>
        <w:fldChar w:fldCharType="separate"/>
      </w:r>
      <w:r w:rsidR="0035603D">
        <w:rPr>
          <w:noProof/>
        </w:rPr>
        <w:t>2-1</w:t>
      </w:r>
      <w:r>
        <w:rPr>
          <w:noProof/>
        </w:rPr>
        <w:fldChar w:fldCharType="end"/>
      </w:r>
    </w:p>
    <w:p w14:paraId="4DA0D379" w14:textId="77777777" w:rsidR="003B1D7D" w:rsidRDefault="003B1D7D">
      <w:pPr>
        <w:pStyle w:val="TOC2"/>
        <w:tabs>
          <w:tab w:val="left" w:pos="960"/>
        </w:tabs>
        <w:rPr>
          <w:rFonts w:asciiTheme="minorHAnsi" w:eastAsiaTheme="minorEastAsia" w:hAnsiTheme="minorHAnsi" w:cstheme="minorBidi"/>
          <w:b w:val="0"/>
          <w:noProof/>
          <w:szCs w:val="22"/>
        </w:rPr>
      </w:pPr>
      <w:r>
        <w:rPr>
          <w:noProof/>
        </w:rPr>
        <w:t>2.3</w:t>
      </w:r>
      <w:r>
        <w:rPr>
          <w:rFonts w:asciiTheme="minorHAnsi" w:eastAsiaTheme="minorEastAsia" w:hAnsiTheme="minorHAnsi" w:cstheme="minorBidi"/>
          <w:b w:val="0"/>
          <w:noProof/>
          <w:szCs w:val="22"/>
        </w:rPr>
        <w:tab/>
      </w:r>
      <w:r>
        <w:rPr>
          <w:noProof/>
        </w:rPr>
        <w:t>Hardware Requirements</w:t>
      </w:r>
      <w:r>
        <w:rPr>
          <w:noProof/>
        </w:rPr>
        <w:tab/>
      </w:r>
      <w:r>
        <w:rPr>
          <w:noProof/>
        </w:rPr>
        <w:fldChar w:fldCharType="begin"/>
      </w:r>
      <w:r>
        <w:rPr>
          <w:noProof/>
        </w:rPr>
        <w:instrText xml:space="preserve"> PAGEREF _Toc477173637 \h </w:instrText>
      </w:r>
      <w:r>
        <w:rPr>
          <w:noProof/>
        </w:rPr>
      </w:r>
      <w:r>
        <w:rPr>
          <w:noProof/>
        </w:rPr>
        <w:fldChar w:fldCharType="separate"/>
      </w:r>
      <w:r w:rsidR="0035603D">
        <w:rPr>
          <w:noProof/>
        </w:rPr>
        <w:t>2-2</w:t>
      </w:r>
      <w:r>
        <w:rPr>
          <w:noProof/>
        </w:rPr>
        <w:fldChar w:fldCharType="end"/>
      </w:r>
    </w:p>
    <w:p w14:paraId="2DDDAB6A" w14:textId="77777777" w:rsidR="003B1D7D" w:rsidRDefault="003B1D7D">
      <w:pPr>
        <w:pStyle w:val="TOC2"/>
        <w:tabs>
          <w:tab w:val="left" w:pos="960"/>
        </w:tabs>
        <w:rPr>
          <w:rFonts w:asciiTheme="minorHAnsi" w:eastAsiaTheme="minorEastAsia" w:hAnsiTheme="minorHAnsi" w:cstheme="minorBidi"/>
          <w:b w:val="0"/>
          <w:noProof/>
          <w:szCs w:val="22"/>
        </w:rPr>
      </w:pPr>
      <w:r>
        <w:rPr>
          <w:noProof/>
        </w:rPr>
        <w:t>2.4</w:t>
      </w:r>
      <w:r>
        <w:rPr>
          <w:rFonts w:asciiTheme="minorHAnsi" w:eastAsiaTheme="minorEastAsia" w:hAnsiTheme="minorHAnsi" w:cstheme="minorBidi"/>
          <w:b w:val="0"/>
          <w:noProof/>
          <w:szCs w:val="22"/>
        </w:rPr>
        <w:tab/>
      </w:r>
      <w:r>
        <w:rPr>
          <w:noProof/>
        </w:rPr>
        <w:t>Example Upgrade</w:t>
      </w:r>
      <w:r>
        <w:rPr>
          <w:noProof/>
        </w:rPr>
        <w:tab/>
      </w:r>
      <w:r>
        <w:rPr>
          <w:noProof/>
        </w:rPr>
        <w:fldChar w:fldCharType="begin"/>
      </w:r>
      <w:r>
        <w:rPr>
          <w:noProof/>
        </w:rPr>
        <w:instrText xml:space="preserve"> PAGEREF _Toc477173638 \h </w:instrText>
      </w:r>
      <w:r>
        <w:rPr>
          <w:noProof/>
        </w:rPr>
      </w:r>
      <w:r>
        <w:rPr>
          <w:noProof/>
        </w:rPr>
        <w:fldChar w:fldCharType="separate"/>
      </w:r>
      <w:r w:rsidR="0035603D">
        <w:rPr>
          <w:noProof/>
        </w:rPr>
        <w:t>2-2</w:t>
      </w:r>
      <w:r>
        <w:rPr>
          <w:noProof/>
        </w:rPr>
        <w:fldChar w:fldCharType="end"/>
      </w:r>
    </w:p>
    <w:p w14:paraId="2C05CEE9" w14:textId="1F1FDF22" w:rsidR="003B1D7D" w:rsidRDefault="003B1D7D">
      <w:pPr>
        <w:pStyle w:val="TOC1"/>
        <w:tabs>
          <w:tab w:val="left" w:pos="720"/>
        </w:tabs>
        <w:rPr>
          <w:rFonts w:asciiTheme="minorHAnsi" w:eastAsiaTheme="minorEastAsia" w:hAnsiTheme="minorHAnsi" w:cstheme="minorBidi"/>
          <w:b w:val="0"/>
          <w:i w:val="0"/>
          <w:noProof/>
          <w:szCs w:val="22"/>
        </w:rPr>
      </w:pPr>
      <w:r>
        <w:rPr>
          <w:noProof/>
        </w:rPr>
        <w:t>3.0</w:t>
      </w:r>
      <w:r>
        <w:rPr>
          <w:rFonts w:asciiTheme="minorHAnsi" w:eastAsiaTheme="minorEastAsia" w:hAnsiTheme="minorHAnsi" w:cstheme="minorBidi"/>
          <w:b w:val="0"/>
          <w:i w:val="0"/>
          <w:noProof/>
          <w:szCs w:val="22"/>
        </w:rPr>
        <w:tab/>
      </w:r>
      <w:r>
        <w:rPr>
          <w:noProof/>
        </w:rPr>
        <w:t xml:space="preserve">USING GRCW </w:t>
      </w:r>
      <w:r w:rsidR="00025B93">
        <w:rPr>
          <w:noProof/>
        </w:rPr>
        <w:t>WORKBOOK</w:t>
      </w:r>
      <w:r>
        <w:rPr>
          <w:noProof/>
        </w:rPr>
        <w:tab/>
      </w:r>
      <w:r>
        <w:rPr>
          <w:noProof/>
        </w:rPr>
        <w:fldChar w:fldCharType="begin"/>
      </w:r>
      <w:r>
        <w:rPr>
          <w:noProof/>
        </w:rPr>
        <w:instrText xml:space="preserve"> PAGEREF _Toc477173639 \h </w:instrText>
      </w:r>
      <w:r>
        <w:rPr>
          <w:noProof/>
        </w:rPr>
      </w:r>
      <w:r>
        <w:rPr>
          <w:noProof/>
        </w:rPr>
        <w:fldChar w:fldCharType="separate"/>
      </w:r>
      <w:r w:rsidR="0035603D">
        <w:rPr>
          <w:noProof/>
        </w:rPr>
        <w:t>3-1</w:t>
      </w:r>
      <w:r>
        <w:rPr>
          <w:noProof/>
        </w:rPr>
        <w:fldChar w:fldCharType="end"/>
      </w:r>
    </w:p>
    <w:p w14:paraId="75DF8C78" w14:textId="77777777" w:rsidR="003B1D7D" w:rsidRDefault="003B1D7D">
      <w:pPr>
        <w:pStyle w:val="TOC2"/>
        <w:tabs>
          <w:tab w:val="left" w:pos="960"/>
        </w:tabs>
        <w:rPr>
          <w:rFonts w:asciiTheme="minorHAnsi" w:eastAsiaTheme="minorEastAsia" w:hAnsiTheme="minorHAnsi" w:cstheme="minorBidi"/>
          <w:b w:val="0"/>
          <w:noProof/>
          <w:szCs w:val="22"/>
        </w:rPr>
      </w:pPr>
      <w:r>
        <w:rPr>
          <w:noProof/>
        </w:rPr>
        <w:t>3.1</w:t>
      </w:r>
      <w:r>
        <w:rPr>
          <w:rFonts w:asciiTheme="minorHAnsi" w:eastAsiaTheme="minorEastAsia" w:hAnsiTheme="minorHAnsi" w:cstheme="minorBidi"/>
          <w:b w:val="0"/>
          <w:noProof/>
          <w:szCs w:val="22"/>
        </w:rPr>
        <w:tab/>
      </w:r>
      <w:r>
        <w:rPr>
          <w:noProof/>
        </w:rPr>
        <w:t>Input Procedures [Tab – Input]</w:t>
      </w:r>
      <w:r>
        <w:rPr>
          <w:noProof/>
        </w:rPr>
        <w:tab/>
      </w:r>
      <w:r>
        <w:rPr>
          <w:noProof/>
        </w:rPr>
        <w:fldChar w:fldCharType="begin"/>
      </w:r>
      <w:r>
        <w:rPr>
          <w:noProof/>
        </w:rPr>
        <w:instrText xml:space="preserve"> PAGEREF _Toc477173640 \h </w:instrText>
      </w:r>
      <w:r>
        <w:rPr>
          <w:noProof/>
        </w:rPr>
      </w:r>
      <w:r>
        <w:rPr>
          <w:noProof/>
        </w:rPr>
        <w:fldChar w:fldCharType="separate"/>
      </w:r>
      <w:r w:rsidR="0035603D">
        <w:rPr>
          <w:noProof/>
        </w:rPr>
        <w:t>3-1</w:t>
      </w:r>
      <w:r>
        <w:rPr>
          <w:noProof/>
        </w:rPr>
        <w:fldChar w:fldCharType="end"/>
      </w:r>
    </w:p>
    <w:p w14:paraId="1C1CD0E8" w14:textId="77777777" w:rsidR="003B1D7D" w:rsidRDefault="003B1D7D">
      <w:pPr>
        <w:pStyle w:val="TOC3"/>
        <w:tabs>
          <w:tab w:val="left" w:pos="1200"/>
        </w:tabs>
        <w:rPr>
          <w:rFonts w:asciiTheme="minorHAnsi" w:eastAsiaTheme="minorEastAsia" w:hAnsiTheme="minorHAnsi" w:cstheme="minorBidi"/>
          <w:noProof/>
          <w:sz w:val="22"/>
          <w:szCs w:val="22"/>
        </w:rPr>
      </w:pPr>
      <w:r>
        <w:rPr>
          <w:noProof/>
        </w:rPr>
        <w:t>3.1.1</w:t>
      </w:r>
      <w:r>
        <w:rPr>
          <w:rFonts w:asciiTheme="minorHAnsi" w:eastAsiaTheme="minorEastAsia" w:hAnsiTheme="minorHAnsi" w:cstheme="minorBidi"/>
          <w:noProof/>
          <w:sz w:val="22"/>
          <w:szCs w:val="22"/>
        </w:rPr>
        <w:tab/>
      </w:r>
      <w:r>
        <w:rPr>
          <w:noProof/>
        </w:rPr>
        <w:t>Information</w:t>
      </w:r>
      <w:r w:rsidRPr="007A6AE9">
        <w:rPr>
          <w:noProof/>
        </w:rPr>
        <w:t xml:space="preserve"> – Section 1</w:t>
      </w:r>
      <w:r>
        <w:rPr>
          <w:noProof/>
        </w:rPr>
        <w:tab/>
      </w:r>
      <w:r>
        <w:rPr>
          <w:noProof/>
        </w:rPr>
        <w:fldChar w:fldCharType="begin"/>
      </w:r>
      <w:r>
        <w:rPr>
          <w:noProof/>
        </w:rPr>
        <w:instrText xml:space="preserve"> PAGEREF _Toc477173641 \h </w:instrText>
      </w:r>
      <w:r>
        <w:rPr>
          <w:noProof/>
        </w:rPr>
      </w:r>
      <w:r>
        <w:rPr>
          <w:noProof/>
        </w:rPr>
        <w:fldChar w:fldCharType="separate"/>
      </w:r>
      <w:r w:rsidR="0035603D">
        <w:rPr>
          <w:noProof/>
        </w:rPr>
        <w:t>3-1</w:t>
      </w:r>
      <w:r>
        <w:rPr>
          <w:noProof/>
        </w:rPr>
        <w:fldChar w:fldCharType="end"/>
      </w:r>
    </w:p>
    <w:p w14:paraId="18870AC2" w14:textId="77777777" w:rsidR="003B1D7D" w:rsidRDefault="003B1D7D">
      <w:pPr>
        <w:pStyle w:val="TOC3"/>
        <w:tabs>
          <w:tab w:val="left" w:pos="1200"/>
        </w:tabs>
        <w:rPr>
          <w:rFonts w:asciiTheme="minorHAnsi" w:eastAsiaTheme="minorEastAsia" w:hAnsiTheme="minorHAnsi" w:cstheme="minorBidi"/>
          <w:noProof/>
          <w:sz w:val="22"/>
          <w:szCs w:val="22"/>
        </w:rPr>
      </w:pPr>
      <w:r>
        <w:rPr>
          <w:noProof/>
        </w:rPr>
        <w:t>3.1.2</w:t>
      </w:r>
      <w:r>
        <w:rPr>
          <w:rFonts w:asciiTheme="minorHAnsi" w:eastAsiaTheme="minorEastAsia" w:hAnsiTheme="minorHAnsi" w:cstheme="minorBidi"/>
          <w:noProof/>
          <w:sz w:val="22"/>
          <w:szCs w:val="22"/>
        </w:rPr>
        <w:tab/>
      </w:r>
      <w:r>
        <w:rPr>
          <w:noProof/>
        </w:rPr>
        <w:t xml:space="preserve">Balance Sheet </w:t>
      </w:r>
      <w:r w:rsidRPr="007A6AE9">
        <w:rPr>
          <w:noProof/>
        </w:rPr>
        <w:t>– Section 2</w:t>
      </w:r>
      <w:r>
        <w:rPr>
          <w:noProof/>
        </w:rPr>
        <w:tab/>
      </w:r>
      <w:r>
        <w:rPr>
          <w:noProof/>
        </w:rPr>
        <w:fldChar w:fldCharType="begin"/>
      </w:r>
      <w:r>
        <w:rPr>
          <w:noProof/>
        </w:rPr>
        <w:instrText xml:space="preserve"> PAGEREF _Toc477173642 \h </w:instrText>
      </w:r>
      <w:r>
        <w:rPr>
          <w:noProof/>
        </w:rPr>
      </w:r>
      <w:r>
        <w:rPr>
          <w:noProof/>
        </w:rPr>
        <w:fldChar w:fldCharType="separate"/>
      </w:r>
      <w:r w:rsidR="0035603D">
        <w:rPr>
          <w:noProof/>
        </w:rPr>
        <w:t>3-1</w:t>
      </w:r>
      <w:r>
        <w:rPr>
          <w:noProof/>
        </w:rPr>
        <w:fldChar w:fldCharType="end"/>
      </w:r>
    </w:p>
    <w:p w14:paraId="0FB469FB" w14:textId="77777777" w:rsidR="003B1D7D" w:rsidRDefault="003B1D7D">
      <w:pPr>
        <w:pStyle w:val="TOC3"/>
        <w:tabs>
          <w:tab w:val="left" w:pos="1200"/>
        </w:tabs>
        <w:rPr>
          <w:rFonts w:asciiTheme="minorHAnsi" w:eastAsiaTheme="minorEastAsia" w:hAnsiTheme="minorHAnsi" w:cstheme="minorBidi"/>
          <w:noProof/>
          <w:sz w:val="22"/>
          <w:szCs w:val="22"/>
        </w:rPr>
      </w:pPr>
      <w:r>
        <w:rPr>
          <w:noProof/>
        </w:rPr>
        <w:t>3.1.3</w:t>
      </w:r>
      <w:r>
        <w:rPr>
          <w:rFonts w:asciiTheme="minorHAnsi" w:eastAsiaTheme="minorEastAsia" w:hAnsiTheme="minorHAnsi" w:cstheme="minorBidi"/>
          <w:noProof/>
          <w:sz w:val="22"/>
          <w:szCs w:val="22"/>
        </w:rPr>
        <w:tab/>
      </w:r>
      <w:r>
        <w:rPr>
          <w:noProof/>
        </w:rPr>
        <w:t xml:space="preserve">Income Statement </w:t>
      </w:r>
      <w:r w:rsidRPr="007A6AE9">
        <w:rPr>
          <w:noProof/>
        </w:rPr>
        <w:t>– Section 3</w:t>
      </w:r>
      <w:r>
        <w:rPr>
          <w:noProof/>
        </w:rPr>
        <w:tab/>
      </w:r>
      <w:r>
        <w:rPr>
          <w:noProof/>
        </w:rPr>
        <w:fldChar w:fldCharType="begin"/>
      </w:r>
      <w:r>
        <w:rPr>
          <w:noProof/>
        </w:rPr>
        <w:instrText xml:space="preserve"> PAGEREF _Toc477173643 \h </w:instrText>
      </w:r>
      <w:r>
        <w:rPr>
          <w:noProof/>
        </w:rPr>
      </w:r>
      <w:r>
        <w:rPr>
          <w:noProof/>
        </w:rPr>
        <w:fldChar w:fldCharType="separate"/>
      </w:r>
      <w:r w:rsidR="0035603D">
        <w:rPr>
          <w:noProof/>
        </w:rPr>
        <w:t>3-1</w:t>
      </w:r>
      <w:r>
        <w:rPr>
          <w:noProof/>
        </w:rPr>
        <w:fldChar w:fldCharType="end"/>
      </w:r>
    </w:p>
    <w:p w14:paraId="175269D3" w14:textId="77777777" w:rsidR="003B1D7D" w:rsidRDefault="003B1D7D">
      <w:pPr>
        <w:pStyle w:val="TOC3"/>
        <w:tabs>
          <w:tab w:val="left" w:pos="1200"/>
        </w:tabs>
        <w:rPr>
          <w:rFonts w:asciiTheme="minorHAnsi" w:eastAsiaTheme="minorEastAsia" w:hAnsiTheme="minorHAnsi" w:cstheme="minorBidi"/>
          <w:noProof/>
          <w:sz w:val="22"/>
          <w:szCs w:val="22"/>
        </w:rPr>
      </w:pPr>
      <w:r>
        <w:rPr>
          <w:noProof/>
        </w:rPr>
        <w:t>3.1.4</w:t>
      </w:r>
      <w:r>
        <w:rPr>
          <w:rFonts w:asciiTheme="minorHAnsi" w:eastAsiaTheme="minorEastAsia" w:hAnsiTheme="minorHAnsi" w:cstheme="minorBidi"/>
          <w:noProof/>
          <w:sz w:val="22"/>
          <w:szCs w:val="22"/>
        </w:rPr>
        <w:tab/>
      </w:r>
      <w:r>
        <w:rPr>
          <w:noProof/>
        </w:rPr>
        <w:t xml:space="preserve">Debt Structure </w:t>
      </w:r>
      <w:r w:rsidRPr="007A6AE9">
        <w:rPr>
          <w:noProof/>
        </w:rPr>
        <w:t>– Section 4</w:t>
      </w:r>
      <w:r>
        <w:rPr>
          <w:noProof/>
        </w:rPr>
        <w:tab/>
      </w:r>
      <w:r>
        <w:rPr>
          <w:noProof/>
        </w:rPr>
        <w:fldChar w:fldCharType="begin"/>
      </w:r>
      <w:r>
        <w:rPr>
          <w:noProof/>
        </w:rPr>
        <w:instrText xml:space="preserve"> PAGEREF _Toc477173644 \h </w:instrText>
      </w:r>
      <w:r>
        <w:rPr>
          <w:noProof/>
        </w:rPr>
      </w:r>
      <w:r>
        <w:rPr>
          <w:noProof/>
        </w:rPr>
        <w:fldChar w:fldCharType="separate"/>
      </w:r>
      <w:r w:rsidR="0035603D">
        <w:rPr>
          <w:noProof/>
        </w:rPr>
        <w:t>3-2</w:t>
      </w:r>
      <w:r>
        <w:rPr>
          <w:noProof/>
        </w:rPr>
        <w:fldChar w:fldCharType="end"/>
      </w:r>
    </w:p>
    <w:p w14:paraId="4FB27A80" w14:textId="77777777" w:rsidR="003B1D7D" w:rsidRDefault="003B1D7D">
      <w:pPr>
        <w:pStyle w:val="TOC3"/>
        <w:tabs>
          <w:tab w:val="left" w:pos="1200"/>
        </w:tabs>
        <w:rPr>
          <w:rFonts w:asciiTheme="minorHAnsi" w:eastAsiaTheme="minorEastAsia" w:hAnsiTheme="minorHAnsi" w:cstheme="minorBidi"/>
          <w:noProof/>
          <w:sz w:val="22"/>
          <w:szCs w:val="22"/>
        </w:rPr>
      </w:pPr>
      <w:r>
        <w:rPr>
          <w:noProof/>
        </w:rPr>
        <w:t>3.1.5</w:t>
      </w:r>
      <w:r>
        <w:rPr>
          <w:rFonts w:asciiTheme="minorHAnsi" w:eastAsiaTheme="minorEastAsia" w:hAnsiTheme="minorHAnsi" w:cstheme="minorBidi"/>
          <w:noProof/>
          <w:sz w:val="22"/>
          <w:szCs w:val="22"/>
        </w:rPr>
        <w:tab/>
      </w:r>
      <w:r>
        <w:rPr>
          <w:noProof/>
        </w:rPr>
        <w:t xml:space="preserve">CIAC, Assets, and Depreciation Schedules </w:t>
      </w:r>
      <w:r w:rsidRPr="007A6AE9">
        <w:rPr>
          <w:noProof/>
        </w:rPr>
        <w:t>– Section 5</w:t>
      </w:r>
      <w:r>
        <w:rPr>
          <w:noProof/>
        </w:rPr>
        <w:tab/>
      </w:r>
      <w:r>
        <w:rPr>
          <w:noProof/>
        </w:rPr>
        <w:fldChar w:fldCharType="begin"/>
      </w:r>
      <w:r>
        <w:rPr>
          <w:noProof/>
        </w:rPr>
        <w:instrText xml:space="preserve"> PAGEREF _Toc477173645 \h </w:instrText>
      </w:r>
      <w:r>
        <w:rPr>
          <w:noProof/>
        </w:rPr>
      </w:r>
      <w:r>
        <w:rPr>
          <w:noProof/>
        </w:rPr>
        <w:fldChar w:fldCharType="separate"/>
      </w:r>
      <w:r w:rsidR="0035603D">
        <w:rPr>
          <w:noProof/>
        </w:rPr>
        <w:t>3-2</w:t>
      </w:r>
      <w:r>
        <w:rPr>
          <w:noProof/>
        </w:rPr>
        <w:fldChar w:fldCharType="end"/>
      </w:r>
    </w:p>
    <w:p w14:paraId="0D1258D8" w14:textId="77777777" w:rsidR="003B1D7D" w:rsidRDefault="003B1D7D">
      <w:pPr>
        <w:pStyle w:val="TOC3"/>
        <w:tabs>
          <w:tab w:val="left" w:pos="1200"/>
        </w:tabs>
        <w:rPr>
          <w:rFonts w:asciiTheme="minorHAnsi" w:eastAsiaTheme="minorEastAsia" w:hAnsiTheme="minorHAnsi" w:cstheme="minorBidi"/>
          <w:noProof/>
          <w:sz w:val="22"/>
          <w:szCs w:val="22"/>
        </w:rPr>
      </w:pPr>
      <w:r>
        <w:rPr>
          <w:noProof/>
        </w:rPr>
        <w:t>3.1.6</w:t>
      </w:r>
      <w:r>
        <w:rPr>
          <w:rFonts w:asciiTheme="minorHAnsi" w:eastAsiaTheme="minorEastAsia" w:hAnsiTheme="minorHAnsi" w:cstheme="minorBidi"/>
          <w:noProof/>
          <w:sz w:val="22"/>
          <w:szCs w:val="22"/>
        </w:rPr>
        <w:tab/>
      </w:r>
      <w:r>
        <w:rPr>
          <w:noProof/>
        </w:rPr>
        <w:t xml:space="preserve">Usage Data (All Metered Customers) </w:t>
      </w:r>
      <w:r w:rsidRPr="007A6AE9">
        <w:rPr>
          <w:noProof/>
        </w:rPr>
        <w:t>– Section 6</w:t>
      </w:r>
      <w:r>
        <w:rPr>
          <w:noProof/>
        </w:rPr>
        <w:tab/>
      </w:r>
      <w:r>
        <w:rPr>
          <w:noProof/>
        </w:rPr>
        <w:fldChar w:fldCharType="begin"/>
      </w:r>
      <w:r>
        <w:rPr>
          <w:noProof/>
        </w:rPr>
        <w:instrText xml:space="preserve"> PAGEREF _Toc477173646 \h </w:instrText>
      </w:r>
      <w:r>
        <w:rPr>
          <w:noProof/>
        </w:rPr>
      </w:r>
      <w:r>
        <w:rPr>
          <w:noProof/>
        </w:rPr>
        <w:fldChar w:fldCharType="separate"/>
      </w:r>
      <w:r w:rsidR="0035603D">
        <w:rPr>
          <w:noProof/>
        </w:rPr>
        <w:t>3-2</w:t>
      </w:r>
      <w:r>
        <w:rPr>
          <w:noProof/>
        </w:rPr>
        <w:fldChar w:fldCharType="end"/>
      </w:r>
    </w:p>
    <w:p w14:paraId="13E70FDE" w14:textId="77777777" w:rsidR="003B1D7D" w:rsidRDefault="003B1D7D">
      <w:pPr>
        <w:pStyle w:val="TOC3"/>
        <w:tabs>
          <w:tab w:val="left" w:pos="1200"/>
        </w:tabs>
        <w:rPr>
          <w:rFonts w:asciiTheme="minorHAnsi" w:eastAsiaTheme="minorEastAsia" w:hAnsiTheme="minorHAnsi" w:cstheme="minorBidi"/>
          <w:noProof/>
          <w:sz w:val="22"/>
          <w:szCs w:val="22"/>
        </w:rPr>
      </w:pPr>
      <w:r>
        <w:rPr>
          <w:noProof/>
        </w:rPr>
        <w:t>3.1.7</w:t>
      </w:r>
      <w:r>
        <w:rPr>
          <w:rFonts w:asciiTheme="minorHAnsi" w:eastAsiaTheme="minorEastAsia" w:hAnsiTheme="minorHAnsi" w:cstheme="minorBidi"/>
          <w:noProof/>
          <w:sz w:val="22"/>
          <w:szCs w:val="22"/>
        </w:rPr>
        <w:tab/>
      </w:r>
      <w:r>
        <w:rPr>
          <w:noProof/>
        </w:rPr>
        <w:t xml:space="preserve">Federal Income Tax Rate </w:t>
      </w:r>
      <w:r w:rsidRPr="007A6AE9">
        <w:rPr>
          <w:noProof/>
        </w:rPr>
        <w:t>– Section 7</w:t>
      </w:r>
      <w:r>
        <w:rPr>
          <w:noProof/>
        </w:rPr>
        <w:tab/>
      </w:r>
      <w:r>
        <w:rPr>
          <w:noProof/>
        </w:rPr>
        <w:fldChar w:fldCharType="begin"/>
      </w:r>
      <w:r>
        <w:rPr>
          <w:noProof/>
        </w:rPr>
        <w:instrText xml:space="preserve"> PAGEREF _Toc477173647 \h </w:instrText>
      </w:r>
      <w:r>
        <w:rPr>
          <w:noProof/>
        </w:rPr>
      </w:r>
      <w:r>
        <w:rPr>
          <w:noProof/>
        </w:rPr>
        <w:fldChar w:fldCharType="separate"/>
      </w:r>
      <w:r w:rsidR="0035603D">
        <w:rPr>
          <w:noProof/>
        </w:rPr>
        <w:t>3-3</w:t>
      </w:r>
      <w:r>
        <w:rPr>
          <w:noProof/>
        </w:rPr>
        <w:fldChar w:fldCharType="end"/>
      </w:r>
    </w:p>
    <w:p w14:paraId="2258705F" w14:textId="77777777" w:rsidR="003B1D7D" w:rsidRDefault="003B1D7D">
      <w:pPr>
        <w:pStyle w:val="TOC3"/>
        <w:tabs>
          <w:tab w:val="left" w:pos="1200"/>
        </w:tabs>
        <w:rPr>
          <w:rFonts w:asciiTheme="minorHAnsi" w:eastAsiaTheme="minorEastAsia" w:hAnsiTheme="minorHAnsi" w:cstheme="minorBidi"/>
          <w:noProof/>
          <w:sz w:val="22"/>
          <w:szCs w:val="22"/>
        </w:rPr>
      </w:pPr>
      <w:r>
        <w:rPr>
          <w:noProof/>
        </w:rPr>
        <w:t>3.1.8</w:t>
      </w:r>
      <w:r>
        <w:rPr>
          <w:rFonts w:asciiTheme="minorHAnsi" w:eastAsiaTheme="minorEastAsia" w:hAnsiTheme="minorHAnsi" w:cstheme="minorBidi"/>
          <w:noProof/>
          <w:sz w:val="22"/>
          <w:szCs w:val="22"/>
        </w:rPr>
        <w:tab/>
      </w:r>
      <w:r>
        <w:rPr>
          <w:noProof/>
        </w:rPr>
        <w:t xml:space="preserve">Conversion Factor </w:t>
      </w:r>
      <w:r w:rsidRPr="007A6AE9">
        <w:rPr>
          <w:noProof/>
        </w:rPr>
        <w:t>– Section 8</w:t>
      </w:r>
      <w:r>
        <w:rPr>
          <w:noProof/>
        </w:rPr>
        <w:tab/>
      </w:r>
      <w:r>
        <w:rPr>
          <w:noProof/>
        </w:rPr>
        <w:fldChar w:fldCharType="begin"/>
      </w:r>
      <w:r>
        <w:rPr>
          <w:noProof/>
        </w:rPr>
        <w:instrText xml:space="preserve"> PAGEREF _Toc477173648 \h </w:instrText>
      </w:r>
      <w:r>
        <w:rPr>
          <w:noProof/>
        </w:rPr>
      </w:r>
      <w:r>
        <w:rPr>
          <w:noProof/>
        </w:rPr>
        <w:fldChar w:fldCharType="separate"/>
      </w:r>
      <w:r w:rsidR="0035603D">
        <w:rPr>
          <w:noProof/>
        </w:rPr>
        <w:t>3-3</w:t>
      </w:r>
      <w:r>
        <w:rPr>
          <w:noProof/>
        </w:rPr>
        <w:fldChar w:fldCharType="end"/>
      </w:r>
    </w:p>
    <w:p w14:paraId="35DBB33F" w14:textId="77777777" w:rsidR="003B1D7D" w:rsidRDefault="003B1D7D">
      <w:pPr>
        <w:pStyle w:val="TOC2"/>
        <w:tabs>
          <w:tab w:val="left" w:pos="960"/>
        </w:tabs>
        <w:rPr>
          <w:rFonts w:asciiTheme="minorHAnsi" w:eastAsiaTheme="minorEastAsia" w:hAnsiTheme="minorHAnsi" w:cstheme="minorBidi"/>
          <w:b w:val="0"/>
          <w:noProof/>
          <w:szCs w:val="22"/>
        </w:rPr>
      </w:pPr>
      <w:r>
        <w:rPr>
          <w:noProof/>
        </w:rPr>
        <w:t>3.2</w:t>
      </w:r>
      <w:r>
        <w:rPr>
          <w:rFonts w:asciiTheme="minorHAnsi" w:eastAsiaTheme="minorEastAsia" w:hAnsiTheme="minorHAnsi" w:cstheme="minorBidi"/>
          <w:b w:val="0"/>
          <w:noProof/>
          <w:szCs w:val="22"/>
        </w:rPr>
        <w:tab/>
      </w:r>
      <w:r>
        <w:rPr>
          <w:noProof/>
        </w:rPr>
        <w:t>Expected Output [Tab Output]</w:t>
      </w:r>
      <w:r>
        <w:rPr>
          <w:noProof/>
        </w:rPr>
        <w:tab/>
      </w:r>
      <w:r>
        <w:rPr>
          <w:noProof/>
        </w:rPr>
        <w:fldChar w:fldCharType="begin"/>
      </w:r>
      <w:r>
        <w:rPr>
          <w:noProof/>
        </w:rPr>
        <w:instrText xml:space="preserve"> PAGEREF _Toc477173649 \h </w:instrText>
      </w:r>
      <w:r>
        <w:rPr>
          <w:noProof/>
        </w:rPr>
      </w:r>
      <w:r>
        <w:rPr>
          <w:noProof/>
        </w:rPr>
        <w:fldChar w:fldCharType="separate"/>
      </w:r>
      <w:r w:rsidR="0035603D">
        <w:rPr>
          <w:noProof/>
        </w:rPr>
        <w:t>3-3</w:t>
      </w:r>
      <w:r>
        <w:rPr>
          <w:noProof/>
        </w:rPr>
        <w:fldChar w:fldCharType="end"/>
      </w:r>
    </w:p>
    <w:p w14:paraId="48783D58" w14:textId="77777777" w:rsidR="003B1D7D" w:rsidRDefault="003B1D7D">
      <w:pPr>
        <w:pStyle w:val="TOC3"/>
        <w:tabs>
          <w:tab w:val="left" w:pos="1200"/>
        </w:tabs>
        <w:rPr>
          <w:rFonts w:asciiTheme="minorHAnsi" w:eastAsiaTheme="minorEastAsia" w:hAnsiTheme="minorHAnsi" w:cstheme="minorBidi"/>
          <w:noProof/>
          <w:sz w:val="22"/>
          <w:szCs w:val="22"/>
        </w:rPr>
      </w:pPr>
      <w:r>
        <w:rPr>
          <w:noProof/>
        </w:rPr>
        <w:t>3.2.1</w:t>
      </w:r>
      <w:r>
        <w:rPr>
          <w:rFonts w:asciiTheme="minorHAnsi" w:eastAsiaTheme="minorEastAsia" w:hAnsiTheme="minorHAnsi" w:cstheme="minorBidi"/>
          <w:noProof/>
          <w:sz w:val="22"/>
          <w:szCs w:val="22"/>
        </w:rPr>
        <w:tab/>
      </w:r>
      <w:r>
        <w:rPr>
          <w:noProof/>
        </w:rPr>
        <w:t xml:space="preserve">Revenue Requirement </w:t>
      </w:r>
      <w:r w:rsidRPr="007A6AE9">
        <w:rPr>
          <w:noProof/>
        </w:rPr>
        <w:t>– Section 9</w:t>
      </w:r>
      <w:r>
        <w:rPr>
          <w:noProof/>
        </w:rPr>
        <w:tab/>
      </w:r>
      <w:r>
        <w:rPr>
          <w:noProof/>
        </w:rPr>
        <w:fldChar w:fldCharType="begin"/>
      </w:r>
      <w:r>
        <w:rPr>
          <w:noProof/>
        </w:rPr>
        <w:instrText xml:space="preserve"> PAGEREF _Toc477173650 \h </w:instrText>
      </w:r>
      <w:r>
        <w:rPr>
          <w:noProof/>
        </w:rPr>
      </w:r>
      <w:r>
        <w:rPr>
          <w:noProof/>
        </w:rPr>
        <w:fldChar w:fldCharType="separate"/>
      </w:r>
      <w:r w:rsidR="0035603D">
        <w:rPr>
          <w:noProof/>
        </w:rPr>
        <w:t>3-3</w:t>
      </w:r>
      <w:r>
        <w:rPr>
          <w:noProof/>
        </w:rPr>
        <w:fldChar w:fldCharType="end"/>
      </w:r>
    </w:p>
    <w:p w14:paraId="47D6416B" w14:textId="77777777" w:rsidR="003B1D7D" w:rsidRDefault="003B1D7D">
      <w:pPr>
        <w:pStyle w:val="TOC3"/>
        <w:tabs>
          <w:tab w:val="left" w:pos="1200"/>
        </w:tabs>
        <w:rPr>
          <w:rFonts w:asciiTheme="minorHAnsi" w:eastAsiaTheme="minorEastAsia" w:hAnsiTheme="minorHAnsi" w:cstheme="minorBidi"/>
          <w:noProof/>
          <w:sz w:val="22"/>
          <w:szCs w:val="22"/>
        </w:rPr>
      </w:pPr>
      <w:r>
        <w:rPr>
          <w:noProof/>
        </w:rPr>
        <w:t>3.2.2</w:t>
      </w:r>
      <w:r>
        <w:rPr>
          <w:rFonts w:asciiTheme="minorHAnsi" w:eastAsiaTheme="minorEastAsia" w:hAnsiTheme="minorHAnsi" w:cstheme="minorBidi"/>
          <w:noProof/>
          <w:sz w:val="22"/>
          <w:szCs w:val="22"/>
        </w:rPr>
        <w:tab/>
      </w:r>
      <w:r>
        <w:rPr>
          <w:noProof/>
        </w:rPr>
        <w:t xml:space="preserve">Monthly Rates (Company Proposed Rate Design) </w:t>
      </w:r>
      <w:r w:rsidRPr="007A6AE9">
        <w:rPr>
          <w:noProof/>
        </w:rPr>
        <w:t>– Section 10</w:t>
      </w:r>
      <w:r>
        <w:rPr>
          <w:noProof/>
        </w:rPr>
        <w:tab/>
      </w:r>
      <w:r>
        <w:rPr>
          <w:noProof/>
        </w:rPr>
        <w:fldChar w:fldCharType="begin"/>
      </w:r>
      <w:r>
        <w:rPr>
          <w:noProof/>
        </w:rPr>
        <w:instrText xml:space="preserve"> PAGEREF _Toc477173651 \h </w:instrText>
      </w:r>
      <w:r>
        <w:rPr>
          <w:noProof/>
        </w:rPr>
      </w:r>
      <w:r>
        <w:rPr>
          <w:noProof/>
        </w:rPr>
        <w:fldChar w:fldCharType="separate"/>
      </w:r>
      <w:r w:rsidR="0035603D">
        <w:rPr>
          <w:noProof/>
        </w:rPr>
        <w:t>3-3</w:t>
      </w:r>
      <w:r>
        <w:rPr>
          <w:noProof/>
        </w:rPr>
        <w:fldChar w:fldCharType="end"/>
      </w:r>
    </w:p>
    <w:p w14:paraId="019887A8" w14:textId="77777777" w:rsidR="003B1D7D" w:rsidRDefault="003B1D7D">
      <w:pPr>
        <w:pStyle w:val="TOC3"/>
        <w:tabs>
          <w:tab w:val="left" w:pos="1200"/>
        </w:tabs>
        <w:rPr>
          <w:rFonts w:asciiTheme="minorHAnsi" w:eastAsiaTheme="minorEastAsia" w:hAnsiTheme="minorHAnsi" w:cstheme="minorBidi"/>
          <w:noProof/>
          <w:sz w:val="22"/>
          <w:szCs w:val="22"/>
        </w:rPr>
      </w:pPr>
      <w:r>
        <w:rPr>
          <w:noProof/>
        </w:rPr>
        <w:t>3.2.3</w:t>
      </w:r>
      <w:r>
        <w:rPr>
          <w:rFonts w:asciiTheme="minorHAnsi" w:eastAsiaTheme="minorEastAsia" w:hAnsiTheme="minorHAnsi" w:cstheme="minorBidi"/>
          <w:noProof/>
          <w:sz w:val="22"/>
          <w:szCs w:val="22"/>
        </w:rPr>
        <w:tab/>
      </w:r>
      <w:r>
        <w:rPr>
          <w:noProof/>
        </w:rPr>
        <w:t xml:space="preserve">Distress Model and Other Ratios </w:t>
      </w:r>
      <w:r w:rsidRPr="007A6AE9">
        <w:rPr>
          <w:noProof/>
        </w:rPr>
        <w:t>– Section 11</w:t>
      </w:r>
      <w:r>
        <w:rPr>
          <w:noProof/>
        </w:rPr>
        <w:tab/>
      </w:r>
      <w:r>
        <w:rPr>
          <w:noProof/>
        </w:rPr>
        <w:fldChar w:fldCharType="begin"/>
      </w:r>
      <w:r>
        <w:rPr>
          <w:noProof/>
        </w:rPr>
        <w:instrText xml:space="preserve"> PAGEREF _Toc477173652 \h </w:instrText>
      </w:r>
      <w:r>
        <w:rPr>
          <w:noProof/>
        </w:rPr>
      </w:r>
      <w:r>
        <w:rPr>
          <w:noProof/>
        </w:rPr>
        <w:fldChar w:fldCharType="separate"/>
      </w:r>
      <w:r w:rsidR="0035603D">
        <w:rPr>
          <w:noProof/>
        </w:rPr>
        <w:t>3-4</w:t>
      </w:r>
      <w:r>
        <w:rPr>
          <w:noProof/>
        </w:rPr>
        <w:fldChar w:fldCharType="end"/>
      </w:r>
    </w:p>
    <w:p w14:paraId="5398ED14" w14:textId="77777777" w:rsidR="003B1D7D" w:rsidRDefault="003B1D7D">
      <w:pPr>
        <w:pStyle w:val="TOC2"/>
        <w:tabs>
          <w:tab w:val="left" w:pos="960"/>
        </w:tabs>
        <w:rPr>
          <w:rFonts w:asciiTheme="minorHAnsi" w:eastAsiaTheme="minorEastAsia" w:hAnsiTheme="minorHAnsi" w:cstheme="minorBidi"/>
          <w:b w:val="0"/>
          <w:noProof/>
          <w:szCs w:val="22"/>
        </w:rPr>
      </w:pPr>
      <w:r>
        <w:rPr>
          <w:noProof/>
        </w:rPr>
        <w:t>3.3</w:t>
      </w:r>
      <w:r>
        <w:rPr>
          <w:rFonts w:asciiTheme="minorHAnsi" w:eastAsiaTheme="minorEastAsia" w:hAnsiTheme="minorHAnsi" w:cstheme="minorBidi"/>
          <w:b w:val="0"/>
          <w:noProof/>
          <w:szCs w:val="22"/>
        </w:rPr>
        <w:tab/>
      </w:r>
      <w:r>
        <w:rPr>
          <w:noProof/>
        </w:rPr>
        <w:t>Special Instructions for Error Correction</w:t>
      </w:r>
      <w:r>
        <w:rPr>
          <w:noProof/>
        </w:rPr>
        <w:tab/>
      </w:r>
      <w:r>
        <w:rPr>
          <w:noProof/>
        </w:rPr>
        <w:fldChar w:fldCharType="begin"/>
      </w:r>
      <w:r>
        <w:rPr>
          <w:noProof/>
        </w:rPr>
        <w:instrText xml:space="preserve"> PAGEREF _Toc477173653 \h </w:instrText>
      </w:r>
      <w:r>
        <w:rPr>
          <w:noProof/>
        </w:rPr>
      </w:r>
      <w:r>
        <w:rPr>
          <w:noProof/>
        </w:rPr>
        <w:fldChar w:fldCharType="separate"/>
      </w:r>
      <w:r w:rsidR="0035603D">
        <w:rPr>
          <w:noProof/>
        </w:rPr>
        <w:t>3-4</w:t>
      </w:r>
      <w:r>
        <w:rPr>
          <w:noProof/>
        </w:rPr>
        <w:fldChar w:fldCharType="end"/>
      </w:r>
    </w:p>
    <w:p w14:paraId="2CCC092F" w14:textId="77777777" w:rsidR="003B1D7D" w:rsidRDefault="003B1D7D">
      <w:pPr>
        <w:pStyle w:val="TOC2"/>
        <w:tabs>
          <w:tab w:val="left" w:pos="960"/>
        </w:tabs>
        <w:rPr>
          <w:rFonts w:asciiTheme="minorHAnsi" w:eastAsiaTheme="minorEastAsia" w:hAnsiTheme="minorHAnsi" w:cstheme="minorBidi"/>
          <w:b w:val="0"/>
          <w:noProof/>
          <w:szCs w:val="22"/>
        </w:rPr>
      </w:pPr>
      <w:r>
        <w:rPr>
          <w:noProof/>
        </w:rPr>
        <w:t>3.4</w:t>
      </w:r>
      <w:r>
        <w:rPr>
          <w:rFonts w:asciiTheme="minorHAnsi" w:eastAsiaTheme="minorEastAsia" w:hAnsiTheme="minorHAnsi" w:cstheme="minorBidi"/>
          <w:b w:val="0"/>
          <w:noProof/>
          <w:szCs w:val="22"/>
        </w:rPr>
        <w:tab/>
      </w:r>
      <w:r>
        <w:rPr>
          <w:noProof/>
        </w:rPr>
        <w:t>Caveats and Exceptions</w:t>
      </w:r>
      <w:r>
        <w:rPr>
          <w:noProof/>
        </w:rPr>
        <w:tab/>
      </w:r>
      <w:r>
        <w:rPr>
          <w:noProof/>
        </w:rPr>
        <w:fldChar w:fldCharType="begin"/>
      </w:r>
      <w:r>
        <w:rPr>
          <w:noProof/>
        </w:rPr>
        <w:instrText xml:space="preserve"> PAGEREF _Toc477173654 \h </w:instrText>
      </w:r>
      <w:r>
        <w:rPr>
          <w:noProof/>
        </w:rPr>
      </w:r>
      <w:r>
        <w:rPr>
          <w:noProof/>
        </w:rPr>
        <w:fldChar w:fldCharType="separate"/>
      </w:r>
      <w:r w:rsidR="0035603D">
        <w:rPr>
          <w:noProof/>
        </w:rPr>
        <w:t>3-4</w:t>
      </w:r>
      <w:r>
        <w:rPr>
          <w:noProof/>
        </w:rPr>
        <w:fldChar w:fldCharType="end"/>
      </w:r>
    </w:p>
    <w:p w14:paraId="2A892B1D" w14:textId="77777777" w:rsidR="003B1D7D" w:rsidRDefault="003B1D7D">
      <w:pPr>
        <w:pStyle w:val="TOC1"/>
        <w:tabs>
          <w:tab w:val="left" w:pos="720"/>
        </w:tabs>
        <w:rPr>
          <w:rFonts w:asciiTheme="minorHAnsi" w:eastAsiaTheme="minorEastAsia" w:hAnsiTheme="minorHAnsi" w:cstheme="minorBidi"/>
          <w:b w:val="0"/>
          <w:i w:val="0"/>
          <w:noProof/>
          <w:szCs w:val="22"/>
        </w:rPr>
      </w:pPr>
      <w:r>
        <w:rPr>
          <w:noProof/>
        </w:rPr>
        <w:t>4.0</w:t>
      </w:r>
      <w:r>
        <w:rPr>
          <w:rFonts w:asciiTheme="minorHAnsi" w:eastAsiaTheme="minorEastAsia" w:hAnsiTheme="minorHAnsi" w:cstheme="minorBidi"/>
          <w:b w:val="0"/>
          <w:i w:val="0"/>
          <w:noProof/>
          <w:szCs w:val="22"/>
        </w:rPr>
        <w:tab/>
      </w:r>
      <w:r>
        <w:rPr>
          <w:noProof/>
        </w:rPr>
        <w:t>FILING A GENERAL RATE CASE</w:t>
      </w:r>
      <w:r>
        <w:rPr>
          <w:noProof/>
        </w:rPr>
        <w:tab/>
      </w:r>
      <w:r>
        <w:rPr>
          <w:noProof/>
        </w:rPr>
        <w:fldChar w:fldCharType="begin"/>
      </w:r>
      <w:r>
        <w:rPr>
          <w:noProof/>
        </w:rPr>
        <w:instrText xml:space="preserve"> PAGEREF _Toc477173655 \h </w:instrText>
      </w:r>
      <w:r>
        <w:rPr>
          <w:noProof/>
        </w:rPr>
      </w:r>
      <w:r>
        <w:rPr>
          <w:noProof/>
        </w:rPr>
        <w:fldChar w:fldCharType="separate"/>
      </w:r>
      <w:r w:rsidR="0035603D">
        <w:rPr>
          <w:noProof/>
        </w:rPr>
        <w:t>4-1</w:t>
      </w:r>
      <w:r>
        <w:rPr>
          <w:noProof/>
        </w:rPr>
        <w:fldChar w:fldCharType="end"/>
      </w:r>
    </w:p>
    <w:p w14:paraId="6B47C59C" w14:textId="77777777" w:rsidR="003B1D7D" w:rsidRDefault="003B1D7D">
      <w:pPr>
        <w:pStyle w:val="TOC2"/>
        <w:tabs>
          <w:tab w:val="left" w:pos="960"/>
        </w:tabs>
        <w:rPr>
          <w:rFonts w:asciiTheme="minorHAnsi" w:eastAsiaTheme="minorEastAsia" w:hAnsiTheme="minorHAnsi" w:cstheme="minorBidi"/>
          <w:b w:val="0"/>
          <w:noProof/>
          <w:szCs w:val="22"/>
        </w:rPr>
      </w:pPr>
      <w:r>
        <w:rPr>
          <w:noProof/>
        </w:rPr>
        <w:t>4.1</w:t>
      </w:r>
      <w:r>
        <w:rPr>
          <w:rFonts w:asciiTheme="minorHAnsi" w:eastAsiaTheme="minorEastAsia" w:hAnsiTheme="minorHAnsi" w:cstheme="minorBidi"/>
          <w:b w:val="0"/>
          <w:noProof/>
          <w:szCs w:val="22"/>
        </w:rPr>
        <w:tab/>
      </w:r>
      <w:r>
        <w:rPr>
          <w:noProof/>
        </w:rPr>
        <w:t>General Rate Case Statue and Required Information</w:t>
      </w:r>
      <w:r>
        <w:rPr>
          <w:noProof/>
        </w:rPr>
        <w:tab/>
      </w:r>
      <w:r>
        <w:rPr>
          <w:noProof/>
        </w:rPr>
        <w:fldChar w:fldCharType="begin"/>
      </w:r>
      <w:r>
        <w:rPr>
          <w:noProof/>
        </w:rPr>
        <w:instrText xml:space="preserve"> PAGEREF _Toc477173656 \h </w:instrText>
      </w:r>
      <w:r>
        <w:rPr>
          <w:noProof/>
        </w:rPr>
      </w:r>
      <w:r>
        <w:rPr>
          <w:noProof/>
        </w:rPr>
        <w:fldChar w:fldCharType="separate"/>
      </w:r>
      <w:r w:rsidR="0035603D">
        <w:rPr>
          <w:noProof/>
        </w:rPr>
        <w:t>4-1</w:t>
      </w:r>
      <w:r>
        <w:rPr>
          <w:noProof/>
        </w:rPr>
        <w:fldChar w:fldCharType="end"/>
      </w:r>
    </w:p>
    <w:p w14:paraId="3B74D5DA" w14:textId="77777777" w:rsidR="003B1D7D" w:rsidRDefault="003B1D7D">
      <w:pPr>
        <w:pStyle w:val="TOC3"/>
        <w:tabs>
          <w:tab w:val="left" w:pos="1200"/>
        </w:tabs>
        <w:rPr>
          <w:rFonts w:asciiTheme="minorHAnsi" w:eastAsiaTheme="minorEastAsia" w:hAnsiTheme="minorHAnsi" w:cstheme="minorBidi"/>
          <w:noProof/>
          <w:sz w:val="22"/>
          <w:szCs w:val="22"/>
        </w:rPr>
      </w:pPr>
      <w:r>
        <w:rPr>
          <w:noProof/>
        </w:rPr>
        <w:t>4.1.1</w:t>
      </w:r>
      <w:r>
        <w:rPr>
          <w:rFonts w:asciiTheme="minorHAnsi" w:eastAsiaTheme="minorEastAsia" w:hAnsiTheme="minorHAnsi" w:cstheme="minorBidi"/>
          <w:noProof/>
          <w:sz w:val="22"/>
          <w:szCs w:val="22"/>
        </w:rPr>
        <w:tab/>
      </w:r>
      <w:r>
        <w:rPr>
          <w:noProof/>
        </w:rPr>
        <w:t>Cover Letter</w:t>
      </w:r>
      <w:r>
        <w:rPr>
          <w:noProof/>
        </w:rPr>
        <w:tab/>
      </w:r>
      <w:r>
        <w:rPr>
          <w:noProof/>
        </w:rPr>
        <w:fldChar w:fldCharType="begin"/>
      </w:r>
      <w:r>
        <w:rPr>
          <w:noProof/>
        </w:rPr>
        <w:instrText xml:space="preserve"> PAGEREF _Toc477173657 \h </w:instrText>
      </w:r>
      <w:r>
        <w:rPr>
          <w:noProof/>
        </w:rPr>
      </w:r>
      <w:r>
        <w:rPr>
          <w:noProof/>
        </w:rPr>
        <w:fldChar w:fldCharType="separate"/>
      </w:r>
      <w:r w:rsidR="0035603D">
        <w:rPr>
          <w:noProof/>
        </w:rPr>
        <w:t>4-1</w:t>
      </w:r>
      <w:r>
        <w:rPr>
          <w:noProof/>
        </w:rPr>
        <w:fldChar w:fldCharType="end"/>
      </w:r>
    </w:p>
    <w:p w14:paraId="0C3CE07E" w14:textId="77777777" w:rsidR="003B1D7D" w:rsidRDefault="003B1D7D">
      <w:pPr>
        <w:pStyle w:val="TOC3"/>
        <w:tabs>
          <w:tab w:val="left" w:pos="1200"/>
        </w:tabs>
        <w:rPr>
          <w:rFonts w:asciiTheme="minorHAnsi" w:eastAsiaTheme="minorEastAsia" w:hAnsiTheme="minorHAnsi" w:cstheme="minorBidi"/>
          <w:noProof/>
          <w:sz w:val="22"/>
          <w:szCs w:val="22"/>
        </w:rPr>
      </w:pPr>
      <w:r>
        <w:rPr>
          <w:noProof/>
        </w:rPr>
        <w:t>4.1.2</w:t>
      </w:r>
      <w:r>
        <w:rPr>
          <w:rFonts w:asciiTheme="minorHAnsi" w:eastAsiaTheme="minorEastAsia" w:hAnsiTheme="minorHAnsi" w:cstheme="minorBidi"/>
          <w:noProof/>
          <w:sz w:val="22"/>
          <w:szCs w:val="22"/>
        </w:rPr>
        <w:tab/>
      </w:r>
      <w:r>
        <w:rPr>
          <w:noProof/>
        </w:rPr>
        <w:t>Tariff</w:t>
      </w:r>
      <w:r>
        <w:rPr>
          <w:noProof/>
        </w:rPr>
        <w:tab/>
      </w:r>
      <w:r>
        <w:rPr>
          <w:noProof/>
        </w:rPr>
        <w:fldChar w:fldCharType="begin"/>
      </w:r>
      <w:r>
        <w:rPr>
          <w:noProof/>
        </w:rPr>
        <w:instrText xml:space="preserve"> PAGEREF _Toc477173658 \h </w:instrText>
      </w:r>
      <w:r>
        <w:rPr>
          <w:noProof/>
        </w:rPr>
      </w:r>
      <w:r>
        <w:rPr>
          <w:noProof/>
        </w:rPr>
        <w:fldChar w:fldCharType="separate"/>
      </w:r>
      <w:r w:rsidR="0035603D">
        <w:rPr>
          <w:noProof/>
        </w:rPr>
        <w:t>4-1</w:t>
      </w:r>
      <w:r>
        <w:rPr>
          <w:noProof/>
        </w:rPr>
        <w:fldChar w:fldCharType="end"/>
      </w:r>
    </w:p>
    <w:p w14:paraId="167D0284" w14:textId="77777777" w:rsidR="003B1D7D" w:rsidRDefault="003B1D7D">
      <w:pPr>
        <w:pStyle w:val="TOC3"/>
        <w:tabs>
          <w:tab w:val="left" w:pos="1200"/>
        </w:tabs>
        <w:rPr>
          <w:rFonts w:asciiTheme="minorHAnsi" w:eastAsiaTheme="minorEastAsia" w:hAnsiTheme="minorHAnsi" w:cstheme="minorBidi"/>
          <w:noProof/>
          <w:sz w:val="22"/>
          <w:szCs w:val="22"/>
        </w:rPr>
      </w:pPr>
      <w:r>
        <w:rPr>
          <w:noProof/>
        </w:rPr>
        <w:t>4.1.3</w:t>
      </w:r>
      <w:r>
        <w:rPr>
          <w:rFonts w:asciiTheme="minorHAnsi" w:eastAsiaTheme="minorEastAsia" w:hAnsiTheme="minorHAnsi" w:cstheme="minorBidi"/>
          <w:noProof/>
          <w:sz w:val="22"/>
          <w:szCs w:val="22"/>
        </w:rPr>
        <w:tab/>
      </w:r>
      <w:r>
        <w:rPr>
          <w:noProof/>
        </w:rPr>
        <w:t>Customer Notice</w:t>
      </w:r>
      <w:r>
        <w:rPr>
          <w:noProof/>
        </w:rPr>
        <w:tab/>
      </w:r>
      <w:r>
        <w:rPr>
          <w:noProof/>
        </w:rPr>
        <w:fldChar w:fldCharType="begin"/>
      </w:r>
      <w:r>
        <w:rPr>
          <w:noProof/>
        </w:rPr>
        <w:instrText xml:space="preserve"> PAGEREF _Toc477173659 \h </w:instrText>
      </w:r>
      <w:r>
        <w:rPr>
          <w:noProof/>
        </w:rPr>
      </w:r>
      <w:r>
        <w:rPr>
          <w:noProof/>
        </w:rPr>
        <w:fldChar w:fldCharType="separate"/>
      </w:r>
      <w:r w:rsidR="0035603D">
        <w:rPr>
          <w:noProof/>
        </w:rPr>
        <w:t>4-1</w:t>
      </w:r>
      <w:r>
        <w:rPr>
          <w:noProof/>
        </w:rPr>
        <w:fldChar w:fldCharType="end"/>
      </w:r>
    </w:p>
    <w:p w14:paraId="54D63308" w14:textId="77777777" w:rsidR="003B1D7D" w:rsidRDefault="003B1D7D">
      <w:pPr>
        <w:pStyle w:val="TOC3"/>
        <w:tabs>
          <w:tab w:val="left" w:pos="1200"/>
        </w:tabs>
        <w:rPr>
          <w:rFonts w:asciiTheme="minorHAnsi" w:eastAsiaTheme="minorEastAsia" w:hAnsiTheme="minorHAnsi" w:cstheme="minorBidi"/>
          <w:noProof/>
          <w:sz w:val="22"/>
          <w:szCs w:val="22"/>
        </w:rPr>
      </w:pPr>
      <w:r>
        <w:rPr>
          <w:noProof/>
        </w:rPr>
        <w:t>4.1.4</w:t>
      </w:r>
      <w:r>
        <w:rPr>
          <w:rFonts w:asciiTheme="minorHAnsi" w:eastAsiaTheme="minorEastAsia" w:hAnsiTheme="minorHAnsi" w:cstheme="minorBidi"/>
          <w:noProof/>
          <w:sz w:val="22"/>
          <w:szCs w:val="22"/>
        </w:rPr>
        <w:tab/>
      </w:r>
      <w:r>
        <w:rPr>
          <w:noProof/>
        </w:rPr>
        <w:t>Work Papers</w:t>
      </w:r>
      <w:r>
        <w:rPr>
          <w:noProof/>
        </w:rPr>
        <w:tab/>
      </w:r>
      <w:r>
        <w:rPr>
          <w:noProof/>
        </w:rPr>
        <w:fldChar w:fldCharType="begin"/>
      </w:r>
      <w:r>
        <w:rPr>
          <w:noProof/>
        </w:rPr>
        <w:instrText xml:space="preserve"> PAGEREF _Toc477173660 \h </w:instrText>
      </w:r>
      <w:r>
        <w:rPr>
          <w:noProof/>
        </w:rPr>
      </w:r>
      <w:r>
        <w:rPr>
          <w:noProof/>
        </w:rPr>
        <w:fldChar w:fldCharType="separate"/>
      </w:r>
      <w:r w:rsidR="0035603D">
        <w:rPr>
          <w:noProof/>
        </w:rPr>
        <w:t>4-1</w:t>
      </w:r>
      <w:r>
        <w:rPr>
          <w:noProof/>
        </w:rPr>
        <w:fldChar w:fldCharType="end"/>
      </w:r>
    </w:p>
    <w:p w14:paraId="43C459B2" w14:textId="77777777" w:rsidR="00484D0B" w:rsidRDefault="00FC0714" w:rsidP="006A7573">
      <w:pPr>
        <w:tabs>
          <w:tab w:val="left" w:pos="540"/>
        </w:tabs>
      </w:pPr>
      <w:r w:rsidRPr="0069735A">
        <w:rPr>
          <w:szCs w:val="22"/>
        </w:rPr>
        <w:fldChar w:fldCharType="end"/>
      </w:r>
    </w:p>
    <w:p w14:paraId="5EB1E265" w14:textId="77777777" w:rsidR="00484D0B" w:rsidRDefault="00484D0B" w:rsidP="006A7573"/>
    <w:p w14:paraId="694729A3" w14:textId="77777777" w:rsidR="00484D0B" w:rsidRDefault="00484D0B" w:rsidP="006A7573">
      <w:pPr>
        <w:sectPr w:rsidR="00484D0B">
          <w:headerReference w:type="default" r:id="rId14"/>
          <w:footerReference w:type="default" r:id="rId15"/>
          <w:pgSz w:w="12240" w:h="15840" w:code="1"/>
          <w:pgMar w:top="1440" w:right="1440" w:bottom="1440" w:left="1440" w:header="720" w:footer="720" w:gutter="0"/>
          <w:pgNumType w:fmt="lowerRoman"/>
          <w:cols w:space="720"/>
        </w:sectPr>
      </w:pPr>
    </w:p>
    <w:p w14:paraId="6A153019" w14:textId="77777777" w:rsidR="00484D0B" w:rsidRDefault="00484D0B" w:rsidP="006A7573"/>
    <w:p w14:paraId="49E31FC6" w14:textId="77777777" w:rsidR="00484D0B" w:rsidRDefault="00484D0B" w:rsidP="006A7573"/>
    <w:p w14:paraId="2946CFF7" w14:textId="77777777" w:rsidR="00484D0B" w:rsidRDefault="00484D0B" w:rsidP="006A7573"/>
    <w:p w14:paraId="1CA4F2D3" w14:textId="77777777" w:rsidR="00484D0B" w:rsidRDefault="00484D0B" w:rsidP="006A7573"/>
    <w:p w14:paraId="7F04560D" w14:textId="77777777" w:rsidR="00484D0B" w:rsidRDefault="00484D0B" w:rsidP="006A7573"/>
    <w:p w14:paraId="646622E9" w14:textId="77777777" w:rsidR="00484D0B" w:rsidRDefault="00484D0B" w:rsidP="006A7573"/>
    <w:p w14:paraId="3D563DF4" w14:textId="77777777" w:rsidR="00484D0B" w:rsidRDefault="00484D0B" w:rsidP="006A7573"/>
    <w:p w14:paraId="30939667" w14:textId="77777777" w:rsidR="00484D0B" w:rsidRDefault="00484D0B" w:rsidP="006A7573"/>
    <w:p w14:paraId="28FDC250" w14:textId="77777777" w:rsidR="00484D0B" w:rsidRDefault="00484D0B" w:rsidP="006A7573"/>
    <w:p w14:paraId="2A144930" w14:textId="77777777" w:rsidR="00484D0B" w:rsidRDefault="00484D0B" w:rsidP="006A7573"/>
    <w:p w14:paraId="67486CE9" w14:textId="77777777" w:rsidR="00484D0B" w:rsidRDefault="00484D0B" w:rsidP="006A7573"/>
    <w:p w14:paraId="60870281" w14:textId="77777777" w:rsidR="00484D0B" w:rsidRDefault="00484D0B" w:rsidP="006A7573"/>
    <w:p w14:paraId="3678033A" w14:textId="77777777" w:rsidR="00484D0B" w:rsidRDefault="00484D0B" w:rsidP="006A7573"/>
    <w:p w14:paraId="3520A548" w14:textId="77777777" w:rsidR="00484D0B" w:rsidRDefault="00484D0B" w:rsidP="006A7573"/>
    <w:p w14:paraId="4071937F" w14:textId="77777777" w:rsidR="00484D0B" w:rsidRDefault="00484D0B" w:rsidP="006A7573"/>
    <w:p w14:paraId="60344EE5" w14:textId="77777777" w:rsidR="00484D0B" w:rsidRDefault="00484D0B" w:rsidP="006A7573"/>
    <w:p w14:paraId="51C38646" w14:textId="77777777" w:rsidR="00484D0B" w:rsidRDefault="00484D0B" w:rsidP="006A7573"/>
    <w:p w14:paraId="55031886" w14:textId="77777777" w:rsidR="00484D0B" w:rsidRDefault="00484D0B" w:rsidP="006A7573"/>
    <w:p w14:paraId="72D0B880" w14:textId="77777777" w:rsidR="00484D0B" w:rsidRDefault="00484D0B" w:rsidP="006A7573"/>
    <w:p w14:paraId="4C42EEF3" w14:textId="77777777" w:rsidR="00484D0B" w:rsidRDefault="00484D0B" w:rsidP="006A7573"/>
    <w:p w14:paraId="3ED5C236" w14:textId="77777777" w:rsidR="00484D0B" w:rsidRDefault="00484D0B" w:rsidP="006A7573"/>
    <w:p w14:paraId="2988549B" w14:textId="77777777" w:rsidR="00484D0B" w:rsidRDefault="00C44DBC" w:rsidP="006A7573">
      <w:pPr>
        <w:jc w:val="right"/>
        <w:rPr>
          <w:rFonts w:ascii="Arial" w:hAnsi="Arial"/>
          <w:b/>
          <w:sz w:val="28"/>
        </w:rPr>
      </w:pPr>
      <w:r>
        <w:rPr>
          <w:rFonts w:ascii="Arial" w:hAnsi="Arial"/>
          <w:b/>
          <w:sz w:val="28"/>
        </w:rPr>
        <w:t>1.0</w:t>
      </w:r>
      <w:r>
        <w:rPr>
          <w:rFonts w:ascii="Arial" w:hAnsi="Arial"/>
          <w:b/>
          <w:sz w:val="28"/>
        </w:rPr>
        <w:tab/>
        <w:t>GENERAL INFORMATION</w:t>
      </w:r>
    </w:p>
    <w:p w14:paraId="6E22809E" w14:textId="77777777" w:rsidR="00484D0B" w:rsidRDefault="00484D0B" w:rsidP="006A7573"/>
    <w:p w14:paraId="3CAD2416" w14:textId="77777777" w:rsidR="00484D0B" w:rsidRDefault="00484D0B" w:rsidP="006A7573">
      <w:pPr>
        <w:sectPr w:rsidR="00484D0B">
          <w:headerReference w:type="default" r:id="rId16"/>
          <w:footerReference w:type="default" r:id="rId17"/>
          <w:pgSz w:w="12240" w:h="15840" w:code="1"/>
          <w:pgMar w:top="1440" w:right="1440" w:bottom="1440" w:left="1440" w:header="720" w:footer="720" w:gutter="0"/>
          <w:pgNumType w:start="1" w:chapStyle="1"/>
          <w:cols w:space="720"/>
        </w:sectPr>
      </w:pPr>
    </w:p>
    <w:p w14:paraId="594E2F0A" w14:textId="77777777" w:rsidR="00484D0B" w:rsidRDefault="00C44DBC" w:rsidP="006A7573">
      <w:pPr>
        <w:pStyle w:val="Heading1"/>
      </w:pPr>
      <w:bookmarkStart w:id="1" w:name="_Toc480255361"/>
      <w:bookmarkStart w:id="2" w:name="_Toc480348002"/>
      <w:bookmarkStart w:id="3" w:name="_Toc477173628"/>
      <w:r>
        <w:lastRenderedPageBreak/>
        <w:t>GENERAL</w:t>
      </w:r>
      <w:bookmarkEnd w:id="1"/>
      <w:r>
        <w:t xml:space="preserve"> INFORMATION</w:t>
      </w:r>
      <w:bookmarkEnd w:id="2"/>
      <w:bookmarkEnd w:id="3"/>
    </w:p>
    <w:p w14:paraId="276F84AD" w14:textId="77777777" w:rsidR="00484D0B" w:rsidRDefault="00484D0B" w:rsidP="006A7573"/>
    <w:p w14:paraId="7C41A5DA" w14:textId="77777777" w:rsidR="00484D0B" w:rsidRDefault="00C44DBC" w:rsidP="006A7573">
      <w:pPr>
        <w:pStyle w:val="Heading2"/>
      </w:pPr>
      <w:bookmarkStart w:id="4" w:name="_Toc480255362"/>
      <w:bookmarkStart w:id="5" w:name="_Toc480348003"/>
      <w:bookmarkStart w:id="6" w:name="_Toc477173629"/>
      <w:r>
        <w:t>1.1</w:t>
      </w:r>
      <w:r>
        <w:tab/>
      </w:r>
      <w:bookmarkEnd w:id="4"/>
      <w:bookmarkEnd w:id="5"/>
      <w:r w:rsidR="00F47BE0">
        <w:t>General Rate Case Workbook</w:t>
      </w:r>
      <w:r w:rsidR="0069735A">
        <w:t xml:space="preserve"> </w:t>
      </w:r>
      <w:r>
        <w:t>Overview</w:t>
      </w:r>
      <w:bookmarkEnd w:id="6"/>
    </w:p>
    <w:p w14:paraId="7D84A78F" w14:textId="77777777" w:rsidR="00484D0B" w:rsidRDefault="00484D0B" w:rsidP="006A7573">
      <w:pPr>
        <w:pStyle w:val="Header"/>
        <w:tabs>
          <w:tab w:val="clear" w:pos="4320"/>
          <w:tab w:val="clear" w:pos="8640"/>
        </w:tabs>
      </w:pPr>
    </w:p>
    <w:p w14:paraId="651D1374" w14:textId="30159E57" w:rsidR="004E374C" w:rsidRDefault="004E374C" w:rsidP="006A7573">
      <w:pPr>
        <w:pStyle w:val="bullet"/>
        <w:ind w:left="0" w:firstLine="0"/>
      </w:pPr>
      <w:r w:rsidRPr="004E374C">
        <w:t>The</w:t>
      </w:r>
      <w:r w:rsidR="004C47B6">
        <w:t xml:space="preserve"> intent of the</w:t>
      </w:r>
      <w:r w:rsidRPr="004E374C">
        <w:t xml:space="preserve"> General Rate Case Workbook (GRCW) </w:t>
      </w:r>
      <w:r w:rsidR="00025B93">
        <w:t>workbook</w:t>
      </w:r>
      <w:r w:rsidRPr="004E374C">
        <w:t xml:space="preserve"> </w:t>
      </w:r>
      <w:r w:rsidR="004C47B6">
        <w:t xml:space="preserve">is </w:t>
      </w:r>
      <w:r w:rsidRPr="004E374C">
        <w:t>hel</w:t>
      </w:r>
      <w:r>
        <w:t>p</w:t>
      </w:r>
      <w:r w:rsidR="004C47B6">
        <w:t>ing</w:t>
      </w:r>
      <w:r>
        <w:t xml:space="preserve"> streamline </w:t>
      </w:r>
      <w:r w:rsidRPr="004E374C">
        <w:t xml:space="preserve">water utility </w:t>
      </w:r>
      <w:r w:rsidR="004C47B6" w:rsidRPr="004E374C">
        <w:t>companies’</w:t>
      </w:r>
      <w:r w:rsidRPr="004E374C">
        <w:t xml:space="preserve"> </w:t>
      </w:r>
      <w:r w:rsidR="004C47B6">
        <w:t xml:space="preserve">general rate cases </w:t>
      </w:r>
      <w:r w:rsidRPr="004E374C">
        <w:t xml:space="preserve">by </w:t>
      </w:r>
      <w:r w:rsidR="004C47B6">
        <w:t>utilizing</w:t>
      </w:r>
      <w:r w:rsidR="004C47B6" w:rsidRPr="004E374C">
        <w:t xml:space="preserve"> </w:t>
      </w:r>
      <w:r w:rsidRPr="004E374C">
        <w:t>the company’s information,</w:t>
      </w:r>
      <w:r w:rsidR="004C47B6">
        <w:t xml:space="preserve"> including: historical costs,</w:t>
      </w:r>
      <w:r w:rsidRPr="004E374C">
        <w:t xml:space="preserve"> assets and customer usage to determine the cost of providing water service.</w:t>
      </w:r>
    </w:p>
    <w:p w14:paraId="278048BF" w14:textId="77777777" w:rsidR="004811CF" w:rsidRPr="004E374C" w:rsidRDefault="004811CF" w:rsidP="006A7573">
      <w:pPr>
        <w:pStyle w:val="bullet"/>
        <w:ind w:left="0" w:firstLine="0"/>
      </w:pPr>
    </w:p>
    <w:p w14:paraId="7F7387AC" w14:textId="66942827" w:rsidR="004E374C" w:rsidRPr="004E374C" w:rsidRDefault="004E374C" w:rsidP="006A7573">
      <w:pPr>
        <w:pStyle w:val="bullet"/>
        <w:ind w:left="0" w:firstLine="0"/>
      </w:pPr>
      <w:r w:rsidRPr="004E374C">
        <w:t xml:space="preserve">Using the company’s information, the GRCW will help determine </w:t>
      </w:r>
      <w:r w:rsidR="008A1B7C">
        <w:t>what</w:t>
      </w:r>
      <w:r w:rsidR="008A1B7C" w:rsidRPr="004E374C">
        <w:t xml:space="preserve"> </w:t>
      </w:r>
      <w:r w:rsidRPr="004E374C">
        <w:t>service</w:t>
      </w:r>
      <w:r w:rsidR="009E1F15">
        <w:t>s</w:t>
      </w:r>
      <w:r w:rsidRPr="004E374C">
        <w:t xml:space="preserve"> </w:t>
      </w:r>
      <w:r w:rsidR="009E1F15">
        <w:t>are</w:t>
      </w:r>
      <w:r w:rsidRPr="004E374C">
        <w:t xml:space="preserve"> impacted and the dollar and percentage change for each</w:t>
      </w:r>
      <w:r w:rsidR="009E1F15">
        <w:t>,</w:t>
      </w:r>
      <w:r w:rsidRPr="004E374C">
        <w:t xml:space="preserve"> as well as the net impact of all </w:t>
      </w:r>
      <w:r w:rsidR="009E1F15">
        <w:t xml:space="preserve">the </w:t>
      </w:r>
      <w:r w:rsidRPr="004E374C">
        <w:t>changes on the company's total regulated revenue</w:t>
      </w:r>
      <w:r w:rsidR="00FC6B6D">
        <w:t>, while supplying a rate design to generate the required total revenue.</w:t>
      </w:r>
    </w:p>
    <w:p w14:paraId="0E28CBD8" w14:textId="77777777" w:rsidR="004811CF" w:rsidRDefault="004811CF" w:rsidP="006A7573">
      <w:pPr>
        <w:pStyle w:val="bullet"/>
        <w:ind w:left="0" w:firstLine="0"/>
      </w:pPr>
    </w:p>
    <w:p w14:paraId="4E20E8C5" w14:textId="50AFE00E" w:rsidR="004E374C" w:rsidRPr="004E374C" w:rsidRDefault="004E374C" w:rsidP="006A7573">
      <w:pPr>
        <w:pStyle w:val="bullet"/>
        <w:ind w:left="0" w:firstLine="0"/>
      </w:pPr>
      <w:r w:rsidRPr="004E374C">
        <w:t xml:space="preserve">GRCW requires the Utilities and Transportation Commission’s (Commission) administrator to </w:t>
      </w:r>
      <w:r w:rsidR="009E1F15">
        <w:t xml:space="preserve">change </w:t>
      </w:r>
      <w:r w:rsidRPr="004E374C">
        <w:t xml:space="preserve">any </w:t>
      </w:r>
      <w:r w:rsidR="009E1F15">
        <w:t xml:space="preserve">locked or password protected </w:t>
      </w:r>
      <w:r w:rsidRPr="004E374C">
        <w:t xml:space="preserve">configurations within the </w:t>
      </w:r>
      <w:r w:rsidR="00025B93">
        <w:t>workbook</w:t>
      </w:r>
      <w:r w:rsidR="009E1F15">
        <w:t>.</w:t>
      </w:r>
    </w:p>
    <w:p w14:paraId="5F8EBC75" w14:textId="77777777" w:rsidR="004811CF" w:rsidRDefault="004811CF" w:rsidP="006A7573">
      <w:pPr>
        <w:pStyle w:val="bullet"/>
        <w:ind w:left="0" w:firstLine="0"/>
      </w:pPr>
    </w:p>
    <w:p w14:paraId="01E0CE1E" w14:textId="7CC71FD3" w:rsidR="004E374C" w:rsidRPr="004E374C" w:rsidRDefault="004E374C" w:rsidP="006A7573">
      <w:pPr>
        <w:pStyle w:val="bullet"/>
        <w:ind w:left="0" w:firstLine="0"/>
      </w:pPr>
      <w:r w:rsidRPr="004E374C">
        <w:t xml:space="preserve">The GRCW </w:t>
      </w:r>
      <w:r w:rsidR="00025B93">
        <w:t>workbook</w:t>
      </w:r>
      <w:r w:rsidR="009E1F15">
        <w:t>’s</w:t>
      </w:r>
      <w:r w:rsidRPr="004E374C">
        <w:t xml:space="preserve"> </w:t>
      </w:r>
      <w:r w:rsidR="009E1F15">
        <w:t>design provides</w:t>
      </w:r>
      <w:r w:rsidRPr="004E374C">
        <w:t xml:space="preserve"> two separate functions: Input and Output. These differences will be covered in more detail later in this document.</w:t>
      </w:r>
    </w:p>
    <w:p w14:paraId="285000CF" w14:textId="77777777" w:rsidR="004811CF" w:rsidRDefault="004811CF" w:rsidP="006A7573">
      <w:pPr>
        <w:pStyle w:val="bullet"/>
        <w:ind w:left="0" w:firstLine="0"/>
      </w:pPr>
    </w:p>
    <w:p w14:paraId="203BC99D" w14:textId="16D216BC" w:rsidR="00484D0B" w:rsidRDefault="004E374C" w:rsidP="006A7573">
      <w:pPr>
        <w:pStyle w:val="bullet"/>
        <w:ind w:left="0" w:firstLine="0"/>
      </w:pPr>
      <w:r w:rsidRPr="004E374C">
        <w:t>Th</w:t>
      </w:r>
      <w:r w:rsidR="009E1F15">
        <w:t>is</w:t>
      </w:r>
      <w:r w:rsidRPr="004E374C">
        <w:t xml:space="preserve"> workbook is functional</w:t>
      </w:r>
      <w:r w:rsidR="007668D5">
        <w:t>ly</w:t>
      </w:r>
      <w:r w:rsidRPr="004E374C">
        <w:t xml:space="preserve"> capable of generating a revenue requirement and a monthly rate design from company</w:t>
      </w:r>
      <w:r w:rsidR="007668D5">
        <w:t xml:space="preserve"> </w:t>
      </w:r>
      <w:r w:rsidRPr="004E374C">
        <w:t>data</w:t>
      </w:r>
      <w:r w:rsidR="007668D5">
        <w:t xml:space="preserve"> provided</w:t>
      </w:r>
      <w:r w:rsidRPr="004E374C">
        <w:t xml:space="preserve"> on the “Input” tab</w:t>
      </w:r>
      <w:r w:rsidR="007668D5">
        <w:t>. T</w:t>
      </w:r>
      <w:r w:rsidRPr="004E374C">
        <w:t xml:space="preserve">he “Output” tab </w:t>
      </w:r>
      <w:r w:rsidR="007668D5" w:rsidRPr="004E374C">
        <w:t>show</w:t>
      </w:r>
      <w:r w:rsidR="007668D5">
        <w:t>s</w:t>
      </w:r>
      <w:r w:rsidR="007668D5" w:rsidRPr="004E374C">
        <w:t xml:space="preserve"> </w:t>
      </w:r>
      <w:r w:rsidRPr="004E374C">
        <w:t>the proposed revenue requirement and proposed monthly rate design.</w:t>
      </w:r>
    </w:p>
    <w:p w14:paraId="26BF25DB" w14:textId="77777777" w:rsidR="007668D5" w:rsidRDefault="007668D5" w:rsidP="006A7573">
      <w:pPr>
        <w:pStyle w:val="bullet"/>
        <w:ind w:left="0" w:firstLine="0"/>
      </w:pPr>
    </w:p>
    <w:p w14:paraId="30B2504C" w14:textId="05A02A3C" w:rsidR="00EC131F" w:rsidRPr="00343C9C" w:rsidRDefault="00EC131F" w:rsidP="006A7573">
      <w:pPr>
        <w:pStyle w:val="bullet"/>
        <w:ind w:left="0" w:firstLine="0"/>
        <w:rPr>
          <w:i/>
        </w:rPr>
      </w:pPr>
      <w:r w:rsidRPr="00343C9C">
        <w:rPr>
          <w:i/>
        </w:rPr>
        <w:t>Note</w:t>
      </w:r>
      <w:r w:rsidR="009E1F15" w:rsidRPr="00343C9C">
        <w:rPr>
          <w:i/>
        </w:rPr>
        <w:t xml:space="preserve"> </w:t>
      </w:r>
      <w:r w:rsidR="005A51E9" w:rsidRPr="00343C9C">
        <w:rPr>
          <w:i/>
        </w:rPr>
        <w:t>– The model</w:t>
      </w:r>
      <w:r w:rsidR="007668D5">
        <w:rPr>
          <w:i/>
        </w:rPr>
        <w:t xml:space="preserve">’s design </w:t>
      </w:r>
      <w:r w:rsidR="005A51E9" w:rsidRPr="00343C9C">
        <w:rPr>
          <w:i/>
        </w:rPr>
        <w:t>provide</w:t>
      </w:r>
      <w:r w:rsidR="009E1F15" w:rsidRPr="00343C9C">
        <w:rPr>
          <w:i/>
        </w:rPr>
        <w:t>s</w:t>
      </w:r>
      <w:r w:rsidR="005A51E9" w:rsidRPr="00343C9C">
        <w:rPr>
          <w:i/>
        </w:rPr>
        <w:t xml:space="preserve"> a zero </w:t>
      </w:r>
      <w:r w:rsidR="007668D5">
        <w:rPr>
          <w:i/>
        </w:rPr>
        <w:t xml:space="preserve">unit </w:t>
      </w:r>
      <w:r w:rsidR="005A51E9" w:rsidRPr="00343C9C">
        <w:rPr>
          <w:i/>
        </w:rPr>
        <w:t>allowance,</w:t>
      </w:r>
      <w:r w:rsidR="007668D5">
        <w:rPr>
          <w:i/>
        </w:rPr>
        <w:t xml:space="preserve"> with</w:t>
      </w:r>
      <w:r w:rsidR="005A51E9" w:rsidRPr="00343C9C">
        <w:rPr>
          <w:i/>
        </w:rPr>
        <w:t xml:space="preserve"> three block</w:t>
      </w:r>
      <w:r w:rsidR="007668D5">
        <w:rPr>
          <w:i/>
        </w:rPr>
        <w:t>s</w:t>
      </w:r>
      <w:r w:rsidR="005A51E9" w:rsidRPr="00343C9C">
        <w:rPr>
          <w:i/>
        </w:rPr>
        <w:t xml:space="preserve"> increasing</w:t>
      </w:r>
      <w:r w:rsidR="007668D5">
        <w:rPr>
          <w:i/>
        </w:rPr>
        <w:t xml:space="preserve"> in</w:t>
      </w:r>
      <w:r w:rsidR="005A51E9" w:rsidRPr="00343C9C">
        <w:rPr>
          <w:i/>
        </w:rPr>
        <w:t xml:space="preserve"> rate</w:t>
      </w:r>
      <w:r w:rsidR="007668D5">
        <w:rPr>
          <w:i/>
        </w:rPr>
        <w:t xml:space="preserve"> based on</w:t>
      </w:r>
      <w:r w:rsidR="005A51E9" w:rsidRPr="00343C9C">
        <w:rPr>
          <w:i/>
        </w:rPr>
        <w:t xml:space="preserve"> meter factor</w:t>
      </w:r>
      <w:r w:rsidR="00812183">
        <w:rPr>
          <w:i/>
        </w:rPr>
        <w:t>s</w:t>
      </w:r>
      <w:r w:rsidR="005A51E9" w:rsidRPr="00343C9C">
        <w:rPr>
          <w:i/>
        </w:rPr>
        <w:t>.</w:t>
      </w:r>
      <w:r w:rsidR="00812183">
        <w:rPr>
          <w:i/>
        </w:rPr>
        <w:t xml:space="preserve"> </w:t>
      </w:r>
      <w:r w:rsidR="005A51E9" w:rsidRPr="00343C9C">
        <w:rPr>
          <w:i/>
        </w:rPr>
        <w:t xml:space="preserve">This rate design is </w:t>
      </w:r>
      <w:r w:rsidR="00812183">
        <w:rPr>
          <w:i/>
        </w:rPr>
        <w:t>generally</w:t>
      </w:r>
      <w:r w:rsidR="005A51E9" w:rsidRPr="00343C9C">
        <w:rPr>
          <w:i/>
        </w:rPr>
        <w:t xml:space="preserve"> optimal for most water utility companies</w:t>
      </w:r>
      <w:r w:rsidR="00812183">
        <w:rPr>
          <w:i/>
        </w:rPr>
        <w:t>, while encouraging conservation of water resources</w:t>
      </w:r>
      <w:r w:rsidR="005A51E9" w:rsidRPr="00343C9C">
        <w:rPr>
          <w:i/>
        </w:rPr>
        <w:t>.</w:t>
      </w:r>
    </w:p>
    <w:p w14:paraId="43BF394B" w14:textId="6C80F7FE" w:rsidR="00484D0B" w:rsidRDefault="00DA7422" w:rsidP="006A7573">
      <w:pPr>
        <w:pStyle w:val="Heading2"/>
      </w:pPr>
      <w:bookmarkStart w:id="7" w:name="_Toc480255363"/>
      <w:bookmarkStart w:id="8" w:name="_Toc480348004"/>
      <w:bookmarkStart w:id="9" w:name="_Toc477173630"/>
      <w:r>
        <w:t>1.2</w:t>
      </w:r>
      <w:r>
        <w:tab/>
      </w:r>
      <w:r w:rsidR="000F7674">
        <w:t>Completion</w:t>
      </w:r>
      <w:bookmarkEnd w:id="7"/>
      <w:bookmarkEnd w:id="8"/>
      <w:r>
        <w:t xml:space="preserve"> Time for GRCW</w:t>
      </w:r>
      <w:bookmarkEnd w:id="9"/>
    </w:p>
    <w:p w14:paraId="1A05C93E" w14:textId="77777777" w:rsidR="00484D0B" w:rsidRDefault="00484D0B" w:rsidP="006A7573">
      <w:pPr>
        <w:keepNext/>
      </w:pPr>
    </w:p>
    <w:p w14:paraId="6B05FE93" w14:textId="77777777" w:rsidR="003A2000" w:rsidRDefault="00416C55" w:rsidP="006A7573">
      <w:r>
        <w:t xml:space="preserve">Times will vary depending on the size of the company, number of assets, number of customers served, familiarity with </w:t>
      </w:r>
      <w:r w:rsidR="003A2000">
        <w:t>Excel and material orderliness</w:t>
      </w:r>
      <w:r w:rsidR="002921FD">
        <w:t xml:space="preserve">. </w:t>
      </w:r>
      <w:r w:rsidR="003A2000">
        <w:t>Two different types of company scenarios are presented:</w:t>
      </w:r>
    </w:p>
    <w:p w14:paraId="6004504D" w14:textId="77777777" w:rsidR="003A2000" w:rsidRDefault="003A2000" w:rsidP="006A7573"/>
    <w:p w14:paraId="20898067" w14:textId="014EA204" w:rsidR="003A2000" w:rsidRDefault="00416C55" w:rsidP="006A7573">
      <w:pPr>
        <w:numPr>
          <w:ilvl w:val="0"/>
          <w:numId w:val="15"/>
        </w:numPr>
      </w:pPr>
      <w:r>
        <w:t xml:space="preserve">The </w:t>
      </w:r>
      <w:r w:rsidR="004C47B6">
        <w:t xml:space="preserve">time required </w:t>
      </w:r>
      <w:r>
        <w:t>for a</w:t>
      </w:r>
      <w:r w:rsidR="003A2000">
        <w:t xml:space="preserve"> </w:t>
      </w:r>
      <w:r>
        <w:t xml:space="preserve">company with </w:t>
      </w:r>
      <w:r w:rsidR="003A2000">
        <w:t xml:space="preserve">a small </w:t>
      </w:r>
      <w:r w:rsidR="00812183">
        <w:t xml:space="preserve">number </w:t>
      </w:r>
      <w:r w:rsidR="003A2000">
        <w:t xml:space="preserve">of </w:t>
      </w:r>
      <w:r>
        <w:t>assets, organized</w:t>
      </w:r>
      <w:r w:rsidR="00812183">
        <w:t xml:space="preserve"> records</w:t>
      </w:r>
      <w:r w:rsidR="003A2000">
        <w:t xml:space="preserve">, </w:t>
      </w:r>
      <w:r w:rsidR="00812183">
        <w:t>and proficient</w:t>
      </w:r>
      <w:r w:rsidR="003A2000">
        <w:t xml:space="preserve"> Excel knowledge</w:t>
      </w:r>
      <w:r>
        <w:t xml:space="preserve"> with </w:t>
      </w:r>
      <w:r w:rsidR="003A2000">
        <w:t>forty</w:t>
      </w:r>
      <w:r>
        <w:t xml:space="preserve"> (</w:t>
      </w:r>
      <w:r w:rsidR="003A2000">
        <w:t>4</w:t>
      </w:r>
      <w:r>
        <w:t>0) customer</w:t>
      </w:r>
      <w:r w:rsidR="003A2000">
        <w:t xml:space="preserve">s; </w:t>
      </w:r>
      <w:r w:rsidR="009E1F15">
        <w:t xml:space="preserve">may </w:t>
      </w:r>
      <w:r w:rsidR="003A2000">
        <w:t>take less than forty-five (45) minutes to complete</w:t>
      </w:r>
      <w:r>
        <w:t>.</w:t>
      </w:r>
    </w:p>
    <w:p w14:paraId="560FAE82" w14:textId="77777777" w:rsidR="003A2000" w:rsidRDefault="003A2000" w:rsidP="003A2000">
      <w:pPr>
        <w:ind w:left="720"/>
      </w:pPr>
    </w:p>
    <w:p w14:paraId="32A688D2" w14:textId="3A257A68" w:rsidR="00484D0B" w:rsidRDefault="003A2000" w:rsidP="006A7573">
      <w:pPr>
        <w:numPr>
          <w:ilvl w:val="0"/>
          <w:numId w:val="15"/>
        </w:numPr>
      </w:pPr>
      <w:r w:rsidRPr="003A2000">
        <w:t>The time</w:t>
      </w:r>
      <w:r w:rsidR="004C47B6">
        <w:t xml:space="preserve"> required</w:t>
      </w:r>
      <w:r w:rsidRPr="003A2000">
        <w:t xml:space="preserve"> for a company with</w:t>
      </w:r>
      <w:r w:rsidR="004C47B6">
        <w:t xml:space="preserve"> either</w:t>
      </w:r>
      <w:r w:rsidRPr="003A2000">
        <w:t xml:space="preserve"> </w:t>
      </w:r>
      <w:r>
        <w:t>numerous</w:t>
      </w:r>
      <w:r w:rsidRPr="003A2000">
        <w:t xml:space="preserve"> assets</w:t>
      </w:r>
      <w:r w:rsidR="009E1F15">
        <w:t>,</w:t>
      </w:r>
      <w:r w:rsidR="004C47B6">
        <w:t xml:space="preserve"> </w:t>
      </w:r>
      <w:r>
        <w:t>un</w:t>
      </w:r>
      <w:r w:rsidRPr="003A2000">
        <w:t>organized</w:t>
      </w:r>
      <w:r w:rsidR="004C47B6">
        <w:t xml:space="preserve"> records</w:t>
      </w:r>
      <w:r w:rsidRPr="003A2000">
        <w:t>,</w:t>
      </w:r>
      <w:r>
        <w:t xml:space="preserve"> novice</w:t>
      </w:r>
      <w:r w:rsidRPr="003A2000">
        <w:t xml:space="preserve"> Excel knowledge</w:t>
      </w:r>
      <w:r w:rsidR="009E1F15">
        <w:t xml:space="preserve"> and/or</w:t>
      </w:r>
      <w:r w:rsidRPr="003A2000">
        <w:t xml:space="preserve"> with </w:t>
      </w:r>
      <w:r>
        <w:t xml:space="preserve">one thousand </w:t>
      </w:r>
      <w:r w:rsidRPr="003A2000">
        <w:t>(</w:t>
      </w:r>
      <w:r>
        <w:t>1,00</w:t>
      </w:r>
      <w:r w:rsidRPr="003A2000">
        <w:t xml:space="preserve">0) </w:t>
      </w:r>
      <w:r w:rsidR="004C47B6">
        <w:t xml:space="preserve">or more </w:t>
      </w:r>
      <w:r w:rsidRPr="003A2000">
        <w:t xml:space="preserve">customers; </w:t>
      </w:r>
      <w:r w:rsidR="009E1F15">
        <w:t xml:space="preserve">may </w:t>
      </w:r>
      <w:r w:rsidRPr="003A2000">
        <w:t xml:space="preserve">take </w:t>
      </w:r>
      <w:r>
        <w:t>three</w:t>
      </w:r>
      <w:r w:rsidRPr="003A2000">
        <w:t xml:space="preserve"> (</w:t>
      </w:r>
      <w:r>
        <w:t>3</w:t>
      </w:r>
      <w:r w:rsidRPr="003A2000">
        <w:t>) hour</w:t>
      </w:r>
      <w:r>
        <w:t>s or more</w:t>
      </w:r>
      <w:r w:rsidRPr="003A2000">
        <w:t xml:space="preserve"> to complete</w:t>
      </w:r>
      <w:r w:rsidR="00C44DBC">
        <w:t>.</w:t>
      </w:r>
    </w:p>
    <w:p w14:paraId="38067182" w14:textId="61D217AD" w:rsidR="00484D0B" w:rsidRDefault="00C44DBC" w:rsidP="006A7573">
      <w:pPr>
        <w:pStyle w:val="Heading2"/>
      </w:pPr>
      <w:bookmarkStart w:id="10" w:name="_Toc483199238"/>
      <w:bookmarkStart w:id="11" w:name="_Toc477173631"/>
      <w:r>
        <w:t>1.</w:t>
      </w:r>
      <w:r w:rsidR="008A1B7C">
        <w:t>3</w:t>
      </w:r>
      <w:r>
        <w:tab/>
        <w:t>Point of Contact</w:t>
      </w:r>
      <w:bookmarkEnd w:id="10"/>
      <w:bookmarkEnd w:id="11"/>
    </w:p>
    <w:p w14:paraId="6A3D589F" w14:textId="77777777" w:rsidR="00484D0B" w:rsidRDefault="00484D0B" w:rsidP="006A7573"/>
    <w:p w14:paraId="4E7DC824" w14:textId="6401249F" w:rsidR="00484D0B" w:rsidRDefault="000F7674" w:rsidP="006A7573">
      <w:r w:rsidRPr="000F7674">
        <w:t xml:space="preserve">For </w:t>
      </w:r>
      <w:r w:rsidR="00812183">
        <w:t>support or questions</w:t>
      </w:r>
      <w:r w:rsidRPr="000F7674">
        <w:t xml:space="preserve">, </w:t>
      </w:r>
      <w:r w:rsidR="004C47B6">
        <w:t xml:space="preserve">contact the </w:t>
      </w:r>
      <w:r w:rsidRPr="000F7674">
        <w:t xml:space="preserve">GRCW </w:t>
      </w:r>
      <w:r w:rsidR="004C47B6">
        <w:t xml:space="preserve">Team </w:t>
      </w:r>
      <w:r w:rsidRPr="000F7674">
        <w:t>through</w:t>
      </w:r>
      <w:r w:rsidR="009A59F3">
        <w:t xml:space="preserve"> Regulatory Services – Water and </w:t>
      </w:r>
      <w:r w:rsidR="004C47B6">
        <w:t>Transportation</w:t>
      </w:r>
      <w:r w:rsidR="009A59F3">
        <w:t xml:space="preserve"> Section at 360-664-1300</w:t>
      </w:r>
      <w:r w:rsidR="00C44DBC">
        <w:t>.</w:t>
      </w:r>
    </w:p>
    <w:p w14:paraId="4A73FAFF" w14:textId="1AE6D097" w:rsidR="00484D0B" w:rsidRDefault="000F7674" w:rsidP="006A7573">
      <w:pPr>
        <w:pStyle w:val="Heading2"/>
      </w:pPr>
      <w:bookmarkStart w:id="12" w:name="_Toc480255366"/>
      <w:bookmarkStart w:id="13" w:name="_Toc480348007"/>
      <w:bookmarkStart w:id="14" w:name="_Toc477173632"/>
      <w:r>
        <w:lastRenderedPageBreak/>
        <w:t>1.</w:t>
      </w:r>
      <w:r w:rsidR="008A1B7C">
        <w:t>4</w:t>
      </w:r>
      <w:r>
        <w:tab/>
        <w:t>Required Documents</w:t>
      </w:r>
      <w:bookmarkEnd w:id="12"/>
      <w:bookmarkEnd w:id="13"/>
      <w:bookmarkEnd w:id="14"/>
    </w:p>
    <w:p w14:paraId="5E70F462" w14:textId="77777777" w:rsidR="000F7674" w:rsidRDefault="000F7674" w:rsidP="006A7573"/>
    <w:p w14:paraId="2E5C3516" w14:textId="28DECBDE" w:rsidR="000F7674" w:rsidRPr="000F7674" w:rsidRDefault="000F7674" w:rsidP="006A7573">
      <w:r w:rsidRPr="000F7674">
        <w:t>To fill in the GRCW make sure you have the following documents:</w:t>
      </w:r>
    </w:p>
    <w:p w14:paraId="226D4C89" w14:textId="77777777" w:rsidR="000F7674" w:rsidRPr="000F7674" w:rsidRDefault="000F7674" w:rsidP="006A7573"/>
    <w:p w14:paraId="561DD871" w14:textId="2833872B" w:rsidR="000F7674" w:rsidRPr="000F7674" w:rsidRDefault="000F7674" w:rsidP="006A7573">
      <w:pPr>
        <w:numPr>
          <w:ilvl w:val="0"/>
          <w:numId w:val="4"/>
        </w:numPr>
      </w:pPr>
      <w:r w:rsidRPr="000F7674">
        <w:t>Tariff</w:t>
      </w:r>
      <w:r w:rsidR="00DA264C">
        <w:t>;</w:t>
      </w:r>
    </w:p>
    <w:p w14:paraId="52055B7D" w14:textId="5BD551AA" w:rsidR="000F7674" w:rsidRPr="000F7674" w:rsidRDefault="000F7674" w:rsidP="006A7573">
      <w:pPr>
        <w:numPr>
          <w:ilvl w:val="0"/>
          <w:numId w:val="4"/>
        </w:numPr>
      </w:pPr>
      <w:r w:rsidRPr="000F7674">
        <w:t>Income Statement</w:t>
      </w:r>
      <w:r w:rsidR="00701DFB">
        <w:t xml:space="preserve"> or General Ledger</w:t>
      </w:r>
      <w:r w:rsidR="00DA264C">
        <w:t>;</w:t>
      </w:r>
    </w:p>
    <w:p w14:paraId="3293AE97" w14:textId="21AAC6D1" w:rsidR="000F7674" w:rsidRPr="000F7674" w:rsidRDefault="000F7674" w:rsidP="006A7573">
      <w:pPr>
        <w:numPr>
          <w:ilvl w:val="0"/>
          <w:numId w:val="4"/>
        </w:numPr>
      </w:pPr>
      <w:r w:rsidRPr="000F7674">
        <w:t>Balance Sheet</w:t>
      </w:r>
      <w:r w:rsidR="00DA264C">
        <w:t>;</w:t>
      </w:r>
    </w:p>
    <w:p w14:paraId="669DAB13" w14:textId="2F9A1485" w:rsidR="000F7674" w:rsidRPr="000F7674" w:rsidRDefault="000F7674" w:rsidP="006A7573">
      <w:pPr>
        <w:numPr>
          <w:ilvl w:val="0"/>
          <w:numId w:val="4"/>
        </w:numPr>
      </w:pPr>
      <w:r w:rsidRPr="000F7674">
        <w:t>Loans with Interest Rate</w:t>
      </w:r>
      <w:r w:rsidR="00DA264C">
        <w:t>;</w:t>
      </w:r>
    </w:p>
    <w:p w14:paraId="49B8D809" w14:textId="6C22009C" w:rsidR="000F7674" w:rsidRDefault="00701DFB" w:rsidP="006A7573">
      <w:pPr>
        <w:numPr>
          <w:ilvl w:val="0"/>
          <w:numId w:val="4"/>
        </w:numPr>
      </w:pPr>
      <w:r>
        <w:t>Asset</w:t>
      </w:r>
      <w:r w:rsidR="00DA264C">
        <w:t>,</w:t>
      </w:r>
      <w:r>
        <w:t xml:space="preserve"> </w:t>
      </w:r>
      <w:r w:rsidR="000F7674" w:rsidRPr="000F7674">
        <w:t>Depreciation</w:t>
      </w:r>
      <w:r w:rsidR="00DA264C">
        <w:t>, and</w:t>
      </w:r>
      <w:r w:rsidR="000F7674" w:rsidRPr="000F7674">
        <w:t xml:space="preserve"> C</w:t>
      </w:r>
      <w:r w:rsidR="00A92BD5">
        <w:t xml:space="preserve">ontributions </w:t>
      </w:r>
      <w:r w:rsidR="000F7674" w:rsidRPr="000F7674">
        <w:t>I</w:t>
      </w:r>
      <w:r w:rsidR="00A92BD5">
        <w:t xml:space="preserve">n </w:t>
      </w:r>
      <w:r w:rsidR="000F7674" w:rsidRPr="000F7674">
        <w:t>A</w:t>
      </w:r>
      <w:r w:rsidR="00A92BD5">
        <w:t xml:space="preserve">id of </w:t>
      </w:r>
      <w:r w:rsidR="000F7674" w:rsidRPr="000F7674">
        <w:t>C</w:t>
      </w:r>
      <w:r w:rsidR="00A92BD5">
        <w:t>onstruction</w:t>
      </w:r>
      <w:r w:rsidR="000F7674" w:rsidRPr="000F7674">
        <w:t xml:space="preserve"> Schedules</w:t>
      </w:r>
      <w:r w:rsidR="00DA264C">
        <w:t>; and</w:t>
      </w:r>
    </w:p>
    <w:p w14:paraId="5344ACD5" w14:textId="64FDD28D" w:rsidR="00484D0B" w:rsidRDefault="000F7674" w:rsidP="006A7573">
      <w:pPr>
        <w:numPr>
          <w:ilvl w:val="0"/>
          <w:numId w:val="4"/>
        </w:numPr>
      </w:pPr>
      <w:r w:rsidRPr="000F7674">
        <w:t xml:space="preserve">Customer Usage by </w:t>
      </w:r>
      <w:r w:rsidR="009A59F3">
        <w:t>billing cycle</w:t>
      </w:r>
      <w:r w:rsidRPr="000F7674">
        <w:t xml:space="preserve"> with </w:t>
      </w:r>
      <w:r w:rsidR="009A59F3">
        <w:t>m</w:t>
      </w:r>
      <w:r w:rsidRPr="000F7674">
        <w:t xml:space="preserve">eter </w:t>
      </w:r>
      <w:r w:rsidR="009A59F3">
        <w:t>s</w:t>
      </w:r>
      <w:r w:rsidRPr="000F7674">
        <w:t>ize</w:t>
      </w:r>
      <w:r w:rsidR="00FC6B6D">
        <w:t>(</w:t>
      </w:r>
      <w:r w:rsidRPr="000F7674">
        <w:t>s</w:t>
      </w:r>
      <w:r w:rsidR="00FC6B6D">
        <w:t>)</w:t>
      </w:r>
    </w:p>
    <w:p w14:paraId="0CA73FDF" w14:textId="78835AB6" w:rsidR="00484D0B" w:rsidRDefault="00C44DBC" w:rsidP="006A7573">
      <w:pPr>
        <w:pStyle w:val="Heading2"/>
      </w:pPr>
      <w:bookmarkStart w:id="15" w:name="_Toc480255367"/>
      <w:bookmarkStart w:id="16" w:name="_Toc480348008"/>
      <w:bookmarkStart w:id="17" w:name="_Toc477173633"/>
      <w:r>
        <w:t>1.</w:t>
      </w:r>
      <w:r w:rsidR="008A1B7C">
        <w:t>5</w:t>
      </w:r>
      <w:r>
        <w:tab/>
      </w:r>
      <w:bookmarkEnd w:id="15"/>
      <w:bookmarkEnd w:id="16"/>
      <w:r>
        <w:t>Acronyms and Abbreviations</w:t>
      </w:r>
      <w:bookmarkEnd w:id="17"/>
    </w:p>
    <w:p w14:paraId="074A1559" w14:textId="678697B5" w:rsidR="000F7674" w:rsidRPr="000F7674" w:rsidRDefault="00DA264C" w:rsidP="006A7573">
      <w:r>
        <w:t>Below</w:t>
      </w:r>
      <w:r w:rsidRPr="000F7674">
        <w:t xml:space="preserve"> </w:t>
      </w:r>
      <w:r w:rsidR="000F7674" w:rsidRPr="000F7674">
        <w:t xml:space="preserve">is a list of acronyms and abbreviations used in this document and the GRCW </w:t>
      </w:r>
      <w:r w:rsidR="00025B93">
        <w:t>workbook</w:t>
      </w:r>
      <w:r w:rsidR="000F7674" w:rsidRPr="000F7674">
        <w:t xml:space="preserve"> with the meaning of each; for additional information, see document labeled “</w:t>
      </w:r>
      <w:hyperlink r:id="rId18" w:history="1">
        <w:r w:rsidR="000F7674" w:rsidRPr="007C4637">
          <w:rPr>
            <w:rStyle w:val="Hyperlink"/>
          </w:rPr>
          <w:t>Regulation Definitions</w:t>
        </w:r>
      </w:hyperlink>
      <w:r w:rsidR="000F7674" w:rsidRPr="000F7674">
        <w:t>” on the Commission’s website</w:t>
      </w:r>
      <w:r w:rsidR="00420DF1">
        <w:t xml:space="preserve"> under </w:t>
      </w:r>
      <w:hyperlink r:id="rId19" w:tgtFrame="_blank" w:history="1">
        <w:r w:rsidR="00420DF1">
          <w:rPr>
            <w:rStyle w:val="Hyperlink"/>
            <w:rFonts w:ascii="Arial" w:hAnsi="Arial" w:cs="Arial"/>
            <w:sz w:val="21"/>
            <w:szCs w:val="21"/>
          </w:rPr>
          <w:t>Glossary of Regulatory Terms</w:t>
        </w:r>
      </w:hyperlink>
      <w:r w:rsidR="000F7674" w:rsidRPr="000F7674">
        <w:t>.</w:t>
      </w:r>
    </w:p>
    <w:p w14:paraId="4021A7D0" w14:textId="77777777" w:rsidR="000F7674" w:rsidRPr="000F7674" w:rsidRDefault="000F7674" w:rsidP="006A7573"/>
    <w:p w14:paraId="662F9E0B" w14:textId="6962DF36" w:rsidR="000F7674" w:rsidRPr="000F7674" w:rsidRDefault="000F7674" w:rsidP="006A7573">
      <w:pPr>
        <w:numPr>
          <w:ilvl w:val="0"/>
          <w:numId w:val="5"/>
        </w:numPr>
      </w:pPr>
      <w:r w:rsidRPr="000F7674">
        <w:t>PFIS – Pro</w:t>
      </w:r>
      <w:r w:rsidR="00EA1705">
        <w:t>f</w:t>
      </w:r>
      <w:r w:rsidRPr="000F7674">
        <w:t>orma Income Statement</w:t>
      </w:r>
    </w:p>
    <w:p w14:paraId="4BCEF0C6" w14:textId="77777777" w:rsidR="000F7674" w:rsidRPr="000F7674" w:rsidRDefault="000F7674" w:rsidP="006A7573">
      <w:pPr>
        <w:numPr>
          <w:ilvl w:val="0"/>
          <w:numId w:val="5"/>
        </w:numPr>
      </w:pPr>
      <w:r w:rsidRPr="000F7674">
        <w:t>Sch – Schedule</w:t>
      </w:r>
    </w:p>
    <w:p w14:paraId="5CF7C188" w14:textId="77777777" w:rsidR="000F7674" w:rsidRPr="000F7674" w:rsidRDefault="000F7674" w:rsidP="006A7573">
      <w:pPr>
        <w:numPr>
          <w:ilvl w:val="0"/>
          <w:numId w:val="5"/>
        </w:numPr>
      </w:pPr>
      <w:r w:rsidRPr="000F7674">
        <w:t>Depn – Depreciation</w:t>
      </w:r>
    </w:p>
    <w:p w14:paraId="27C863F0" w14:textId="77777777" w:rsidR="000F7674" w:rsidRPr="000F7674" w:rsidRDefault="000F7674" w:rsidP="006A7573">
      <w:pPr>
        <w:numPr>
          <w:ilvl w:val="0"/>
          <w:numId w:val="5"/>
        </w:numPr>
      </w:pPr>
      <w:r w:rsidRPr="000F7674">
        <w:t>CIAC – Contributions in Aid of Construction</w:t>
      </w:r>
    </w:p>
    <w:p w14:paraId="4DAEA662" w14:textId="2FDD2EF9" w:rsidR="000F7674" w:rsidRDefault="000F7674" w:rsidP="006A7573">
      <w:pPr>
        <w:numPr>
          <w:ilvl w:val="0"/>
          <w:numId w:val="5"/>
        </w:numPr>
      </w:pPr>
      <w:r w:rsidRPr="000F7674">
        <w:t>BOY – Beginning of Year</w:t>
      </w:r>
    </w:p>
    <w:p w14:paraId="7C2278EB" w14:textId="7573471D" w:rsidR="00DA264C" w:rsidRPr="000F7674" w:rsidRDefault="00DA264C" w:rsidP="006A7573">
      <w:pPr>
        <w:numPr>
          <w:ilvl w:val="0"/>
          <w:numId w:val="5"/>
        </w:numPr>
      </w:pPr>
      <w:r>
        <w:t>EOY – End of Year</w:t>
      </w:r>
    </w:p>
    <w:p w14:paraId="4031E048" w14:textId="77777777" w:rsidR="000F7674" w:rsidRPr="000F7674" w:rsidRDefault="000F7674" w:rsidP="006A7573">
      <w:pPr>
        <w:numPr>
          <w:ilvl w:val="0"/>
          <w:numId w:val="5"/>
        </w:numPr>
      </w:pPr>
      <w:r w:rsidRPr="000F7674">
        <w:t>NTG – Net-to-Gross</w:t>
      </w:r>
    </w:p>
    <w:p w14:paraId="54760C76" w14:textId="77777777" w:rsidR="000F7674" w:rsidRDefault="000F7674" w:rsidP="006A7573">
      <w:pPr>
        <w:numPr>
          <w:ilvl w:val="0"/>
          <w:numId w:val="5"/>
        </w:numPr>
      </w:pPr>
      <w:r w:rsidRPr="000F7674">
        <w:t>ADJs – Adjustments</w:t>
      </w:r>
    </w:p>
    <w:p w14:paraId="4FC8F0B2" w14:textId="77777777" w:rsidR="00484D0B" w:rsidRDefault="000F7674" w:rsidP="006A7573">
      <w:pPr>
        <w:numPr>
          <w:ilvl w:val="0"/>
          <w:numId w:val="5"/>
        </w:numPr>
      </w:pPr>
      <w:r w:rsidRPr="000F7674">
        <w:t>Interest Sync – Interest Synchronization</w:t>
      </w:r>
    </w:p>
    <w:p w14:paraId="6AC6B0BB" w14:textId="77777777" w:rsidR="007F30DF" w:rsidRDefault="007F30DF" w:rsidP="006A7573">
      <w:pPr>
        <w:numPr>
          <w:ilvl w:val="0"/>
          <w:numId w:val="5"/>
        </w:numPr>
      </w:pPr>
      <w:r>
        <w:t>FIT – Federal Income Tax</w:t>
      </w:r>
    </w:p>
    <w:p w14:paraId="6376EE7E" w14:textId="77777777" w:rsidR="00484D0B" w:rsidRDefault="00484D0B" w:rsidP="006A7573"/>
    <w:p w14:paraId="64A83BA7" w14:textId="77777777" w:rsidR="00484D0B" w:rsidRDefault="00484D0B" w:rsidP="006A7573">
      <w:pPr>
        <w:sectPr w:rsidR="00484D0B">
          <w:headerReference w:type="default" r:id="rId20"/>
          <w:footerReference w:type="default" r:id="rId21"/>
          <w:pgSz w:w="12240" w:h="15840" w:code="1"/>
          <w:pgMar w:top="1440" w:right="1440" w:bottom="1440" w:left="1440" w:header="720" w:footer="720" w:gutter="0"/>
          <w:pgNumType w:start="1" w:chapStyle="1"/>
          <w:cols w:space="720"/>
        </w:sectPr>
      </w:pPr>
    </w:p>
    <w:p w14:paraId="25055461" w14:textId="77777777" w:rsidR="00484D0B" w:rsidRDefault="00484D0B" w:rsidP="006A7573"/>
    <w:p w14:paraId="5882D77E" w14:textId="77777777" w:rsidR="00484D0B" w:rsidRDefault="00484D0B" w:rsidP="006A7573"/>
    <w:p w14:paraId="2E91D6D7" w14:textId="77777777" w:rsidR="00484D0B" w:rsidRDefault="00484D0B" w:rsidP="006A7573"/>
    <w:p w14:paraId="2BEBB652" w14:textId="77777777" w:rsidR="00484D0B" w:rsidRDefault="00484D0B" w:rsidP="006A7573"/>
    <w:p w14:paraId="0CBE34D2" w14:textId="77777777" w:rsidR="00484D0B" w:rsidRDefault="00484D0B" w:rsidP="006A7573"/>
    <w:p w14:paraId="77FD0546" w14:textId="77777777" w:rsidR="00484D0B" w:rsidRDefault="00484D0B" w:rsidP="006A7573"/>
    <w:p w14:paraId="40C035FB" w14:textId="77777777" w:rsidR="00484D0B" w:rsidRDefault="00484D0B" w:rsidP="006A7573"/>
    <w:p w14:paraId="28E3B939" w14:textId="77777777" w:rsidR="00484D0B" w:rsidRDefault="00484D0B" w:rsidP="006A7573"/>
    <w:p w14:paraId="43458DC8" w14:textId="77777777" w:rsidR="00484D0B" w:rsidRDefault="00484D0B" w:rsidP="006A7573"/>
    <w:p w14:paraId="5E5D15D5" w14:textId="77777777" w:rsidR="00484D0B" w:rsidRDefault="00484D0B" w:rsidP="006A7573"/>
    <w:p w14:paraId="341B86F6" w14:textId="77777777" w:rsidR="00484D0B" w:rsidRDefault="00484D0B" w:rsidP="006A7573"/>
    <w:p w14:paraId="1F156B81" w14:textId="77777777" w:rsidR="00484D0B" w:rsidRDefault="00484D0B" w:rsidP="006A7573"/>
    <w:p w14:paraId="13C9E911" w14:textId="77777777" w:rsidR="00484D0B" w:rsidRDefault="00484D0B" w:rsidP="006A7573"/>
    <w:p w14:paraId="43FEE34E" w14:textId="77777777" w:rsidR="00484D0B" w:rsidRDefault="00484D0B" w:rsidP="006A7573"/>
    <w:p w14:paraId="2462EEAB" w14:textId="77777777" w:rsidR="00484D0B" w:rsidRDefault="00484D0B" w:rsidP="006A7573"/>
    <w:p w14:paraId="026AECF8" w14:textId="77777777" w:rsidR="00484D0B" w:rsidRDefault="00484D0B" w:rsidP="006A7573"/>
    <w:p w14:paraId="5B118736" w14:textId="77777777" w:rsidR="00484D0B" w:rsidRDefault="00484D0B" w:rsidP="006A7573"/>
    <w:p w14:paraId="4A7D0766" w14:textId="77777777" w:rsidR="00484D0B" w:rsidRDefault="00484D0B" w:rsidP="006A7573"/>
    <w:p w14:paraId="3991AA4C" w14:textId="77777777" w:rsidR="00484D0B" w:rsidRDefault="00484D0B" w:rsidP="006A7573"/>
    <w:p w14:paraId="243F0213" w14:textId="77777777" w:rsidR="00484D0B" w:rsidRDefault="00484D0B" w:rsidP="006A7573"/>
    <w:p w14:paraId="203F4BED" w14:textId="77777777" w:rsidR="00484D0B" w:rsidRDefault="00484D0B" w:rsidP="006A7573"/>
    <w:p w14:paraId="37507F57" w14:textId="77777777" w:rsidR="00484D0B" w:rsidRDefault="00C44DBC" w:rsidP="006A7573">
      <w:pPr>
        <w:jc w:val="right"/>
        <w:rPr>
          <w:rFonts w:ascii="Arial" w:hAnsi="Arial"/>
          <w:b/>
          <w:sz w:val="28"/>
        </w:rPr>
      </w:pPr>
      <w:r>
        <w:rPr>
          <w:rFonts w:ascii="Arial" w:hAnsi="Arial"/>
          <w:b/>
          <w:sz w:val="28"/>
        </w:rPr>
        <w:t>2.0</w:t>
      </w:r>
      <w:r>
        <w:rPr>
          <w:rFonts w:ascii="Arial" w:hAnsi="Arial"/>
          <w:b/>
          <w:sz w:val="28"/>
        </w:rPr>
        <w:tab/>
        <w:t>SYSTEM SUMMARY</w:t>
      </w:r>
    </w:p>
    <w:p w14:paraId="263207F2" w14:textId="77777777" w:rsidR="00484D0B" w:rsidRDefault="00484D0B" w:rsidP="006A7573"/>
    <w:p w14:paraId="6867927F" w14:textId="77777777" w:rsidR="00484D0B" w:rsidRDefault="00484D0B" w:rsidP="006A7573">
      <w:pPr>
        <w:sectPr w:rsidR="00484D0B">
          <w:headerReference w:type="default" r:id="rId22"/>
          <w:footerReference w:type="default" r:id="rId23"/>
          <w:pgSz w:w="12240" w:h="15840"/>
          <w:pgMar w:top="1440" w:right="1440" w:bottom="1440" w:left="1440" w:header="720" w:footer="720" w:gutter="0"/>
          <w:pgNumType w:start="1" w:chapStyle="1"/>
          <w:cols w:space="720"/>
        </w:sectPr>
      </w:pPr>
    </w:p>
    <w:p w14:paraId="686C0C31" w14:textId="77777777" w:rsidR="00484D0B" w:rsidRDefault="00C44DBC" w:rsidP="006A7573">
      <w:pPr>
        <w:pStyle w:val="Heading1"/>
      </w:pPr>
      <w:bookmarkStart w:id="18" w:name="_Toc480255368"/>
      <w:bookmarkStart w:id="19" w:name="_Toc480348009"/>
      <w:bookmarkStart w:id="20" w:name="_Toc477173634"/>
      <w:r>
        <w:lastRenderedPageBreak/>
        <w:t>SYSTEM SUMMARY</w:t>
      </w:r>
      <w:bookmarkEnd w:id="18"/>
      <w:bookmarkEnd w:id="19"/>
      <w:bookmarkEnd w:id="20"/>
    </w:p>
    <w:p w14:paraId="141CAFE3" w14:textId="77777777" w:rsidR="00484D0B" w:rsidRDefault="00484D0B" w:rsidP="006A7573"/>
    <w:p w14:paraId="2B944326" w14:textId="77777777" w:rsidR="00484D0B" w:rsidRDefault="00C44DBC" w:rsidP="006A7573">
      <w:pPr>
        <w:pStyle w:val="Heading2"/>
      </w:pPr>
      <w:bookmarkStart w:id="21" w:name="_Toc480255370"/>
      <w:bookmarkStart w:id="22" w:name="_Toc480348011"/>
      <w:bookmarkStart w:id="23" w:name="_Toc477173635"/>
      <w:r>
        <w:t>2.1</w:t>
      </w:r>
      <w:r>
        <w:tab/>
        <w:t>System Configuration</w:t>
      </w:r>
      <w:bookmarkEnd w:id="21"/>
      <w:bookmarkEnd w:id="22"/>
      <w:bookmarkEnd w:id="23"/>
    </w:p>
    <w:p w14:paraId="71E0DEAB" w14:textId="77777777" w:rsidR="00484D0B" w:rsidRDefault="00484D0B" w:rsidP="006A7573"/>
    <w:p w14:paraId="5ACB4C77" w14:textId="1EE7C3E6" w:rsidR="00484D0B" w:rsidRDefault="00EA1705" w:rsidP="006A7573">
      <w:r w:rsidRPr="000F7674">
        <w:t>Th</w:t>
      </w:r>
      <w:r>
        <w:t>is</w:t>
      </w:r>
      <w:r w:rsidRPr="000F7674">
        <w:t xml:space="preserve"> </w:t>
      </w:r>
      <w:r w:rsidR="00025B93">
        <w:t>workbook</w:t>
      </w:r>
      <w:r w:rsidR="000F7674" w:rsidRPr="000F7674">
        <w:t xml:space="preserve"> is contained entirely within a single</w:t>
      </w:r>
      <w:r w:rsidR="000F7674">
        <w:t xml:space="preserve"> Microsoft</w:t>
      </w:r>
      <w:r w:rsidR="000F7674" w:rsidRPr="000F7674">
        <w:t xml:space="preserve"> Excel workbook</w:t>
      </w:r>
      <w:r w:rsidR="00C44DBC">
        <w:t>.</w:t>
      </w:r>
    </w:p>
    <w:p w14:paraId="4441654B" w14:textId="77777777" w:rsidR="00484D0B" w:rsidRDefault="000F7674" w:rsidP="006A7573">
      <w:pPr>
        <w:pStyle w:val="Heading2"/>
      </w:pPr>
      <w:bookmarkStart w:id="24" w:name="_Toc477173636"/>
      <w:r>
        <w:t>2.2</w:t>
      </w:r>
      <w:r>
        <w:tab/>
        <w:t>Software Requirements</w:t>
      </w:r>
      <w:bookmarkEnd w:id="24"/>
    </w:p>
    <w:p w14:paraId="1BD7D5F3" w14:textId="77777777" w:rsidR="000F7674" w:rsidRDefault="000F7674" w:rsidP="006A7573">
      <w:pPr>
        <w:rPr>
          <w:bCs/>
        </w:rPr>
      </w:pPr>
    </w:p>
    <w:p w14:paraId="06CD9E0E" w14:textId="2759F00D" w:rsidR="000B3E40" w:rsidRDefault="000F7674" w:rsidP="006A7573">
      <w:pPr>
        <w:rPr>
          <w:bCs/>
        </w:rPr>
      </w:pPr>
      <w:r w:rsidRPr="000F7674">
        <w:rPr>
          <w:bCs/>
        </w:rPr>
        <w:t xml:space="preserve">To take advantage of the new capabilities offered by the GRCW, you will need Microsoft Office </w:t>
      </w:r>
      <w:r w:rsidR="00B67424" w:rsidRPr="000F7674">
        <w:rPr>
          <w:bCs/>
        </w:rPr>
        <w:t>20</w:t>
      </w:r>
      <w:r w:rsidR="000B3E40">
        <w:rPr>
          <w:bCs/>
        </w:rPr>
        <w:t>07 or newer</w:t>
      </w:r>
      <w:r w:rsidRPr="000F7674">
        <w:rPr>
          <w:bCs/>
        </w:rPr>
        <w:t>.</w:t>
      </w:r>
    </w:p>
    <w:p w14:paraId="2AA1FBD0" w14:textId="77777777" w:rsidR="000B3E40" w:rsidRDefault="000B3E40" w:rsidP="006A7573">
      <w:pPr>
        <w:rPr>
          <w:bCs/>
        </w:rPr>
      </w:pPr>
    </w:p>
    <w:p w14:paraId="42378DBD" w14:textId="19D0EFE4" w:rsidR="000F7674" w:rsidRPr="000F7674" w:rsidRDefault="000F7674" w:rsidP="006A7573">
      <w:pPr>
        <w:rPr>
          <w:bCs/>
        </w:rPr>
      </w:pPr>
      <w:r w:rsidRPr="000F7674">
        <w:rPr>
          <w:bCs/>
        </w:rPr>
        <w:t>If you do not have Microsoft Office</w:t>
      </w:r>
      <w:r w:rsidR="00D1412B">
        <w:rPr>
          <w:bCs/>
        </w:rPr>
        <w:t>,</w:t>
      </w:r>
      <w:r w:rsidRPr="000F7674">
        <w:rPr>
          <w:bCs/>
        </w:rPr>
        <w:t xml:space="preserve"> or a computer </w:t>
      </w:r>
      <w:r w:rsidR="00D1412B">
        <w:rPr>
          <w:bCs/>
        </w:rPr>
        <w:t xml:space="preserve">meeting the </w:t>
      </w:r>
      <w:r w:rsidR="00EA1705">
        <w:rPr>
          <w:bCs/>
        </w:rPr>
        <w:t>system</w:t>
      </w:r>
      <w:r w:rsidR="0052677A">
        <w:rPr>
          <w:bCs/>
        </w:rPr>
        <w:t xml:space="preserve"> </w:t>
      </w:r>
      <w:r w:rsidRPr="000F7674">
        <w:rPr>
          <w:bCs/>
        </w:rPr>
        <w:t>requirement</w:t>
      </w:r>
      <w:r w:rsidR="00D1412B">
        <w:rPr>
          <w:bCs/>
        </w:rPr>
        <w:t>s of the</w:t>
      </w:r>
      <w:r w:rsidRPr="000F7674">
        <w:rPr>
          <w:bCs/>
        </w:rPr>
        <w:t xml:space="preserve"> software (see 2.3 Hardware Requirements), </w:t>
      </w:r>
      <w:r w:rsidR="00D1412B">
        <w:rPr>
          <w:bCs/>
        </w:rPr>
        <w:t>a</w:t>
      </w:r>
      <w:r w:rsidRPr="000F7674">
        <w:rPr>
          <w:bCs/>
        </w:rPr>
        <w:t xml:space="preserve"> one-time technology upgrade will be </w:t>
      </w:r>
      <w:r w:rsidR="000B3E40">
        <w:rPr>
          <w:bCs/>
        </w:rPr>
        <w:t xml:space="preserve">allowed </w:t>
      </w:r>
      <w:r w:rsidR="00380F02">
        <w:rPr>
          <w:bCs/>
        </w:rPr>
        <w:t>up to</w:t>
      </w:r>
      <w:r w:rsidRPr="000F7674">
        <w:rPr>
          <w:bCs/>
        </w:rPr>
        <w:t xml:space="preserve"> fifteen hundred dollars ($1,500), reflected as a proforma adjustment </w:t>
      </w:r>
      <w:r w:rsidR="003C1166">
        <w:rPr>
          <w:bCs/>
        </w:rPr>
        <w:t xml:space="preserve">recovered </w:t>
      </w:r>
      <w:r w:rsidRPr="000F7674">
        <w:rPr>
          <w:bCs/>
        </w:rPr>
        <w:t>over three (3) years.</w:t>
      </w:r>
    </w:p>
    <w:p w14:paraId="684569EB" w14:textId="77777777" w:rsidR="000F7674" w:rsidRPr="000F7674" w:rsidRDefault="000F7674" w:rsidP="006A7573">
      <w:pPr>
        <w:rPr>
          <w:bCs/>
        </w:rPr>
      </w:pPr>
    </w:p>
    <w:p w14:paraId="49FD498B" w14:textId="5E0724E2" w:rsidR="000F7674" w:rsidRPr="000F7674" w:rsidRDefault="00011B94" w:rsidP="006A7573">
      <w:pPr>
        <w:rPr>
          <w:bCs/>
        </w:rPr>
      </w:pPr>
      <w:r>
        <w:rPr>
          <w:bCs/>
        </w:rPr>
        <w:t xml:space="preserve">Microsoft office 2013, the oldest currently supported Office package, </w:t>
      </w:r>
      <w:r w:rsidR="000F7674" w:rsidRPr="000F7674">
        <w:rPr>
          <w:bCs/>
        </w:rPr>
        <w:t xml:space="preserve">has multiple versions (see </w:t>
      </w:r>
      <w:r w:rsidR="000F7674" w:rsidRPr="000F7674">
        <w:rPr>
          <w:bCs/>
          <w:i/>
        </w:rPr>
        <w:t xml:space="preserve">Microsoft Office </w:t>
      </w:r>
      <w:r w:rsidR="00B67424" w:rsidRPr="000F7674">
        <w:rPr>
          <w:bCs/>
          <w:i/>
        </w:rPr>
        <w:t>20</w:t>
      </w:r>
      <w:r w:rsidR="00B67424">
        <w:rPr>
          <w:bCs/>
          <w:i/>
        </w:rPr>
        <w:t>13</w:t>
      </w:r>
      <w:r w:rsidR="00B67424" w:rsidRPr="000F7674">
        <w:rPr>
          <w:bCs/>
          <w:i/>
        </w:rPr>
        <w:t xml:space="preserve"> </w:t>
      </w:r>
      <w:r w:rsidR="000F7674" w:rsidRPr="000F7674">
        <w:rPr>
          <w:bCs/>
          <w:i/>
        </w:rPr>
        <w:t>Chart</w:t>
      </w:r>
      <w:r w:rsidR="000F7674" w:rsidRPr="000F7674">
        <w:rPr>
          <w:bCs/>
        </w:rPr>
        <w:t xml:space="preserve"> below)</w:t>
      </w:r>
      <w:r>
        <w:rPr>
          <w:bCs/>
        </w:rPr>
        <w:t>.</w:t>
      </w:r>
      <w:r w:rsidR="000F7674" w:rsidRPr="000F7674">
        <w:rPr>
          <w:bCs/>
        </w:rPr>
        <w:t xml:space="preserve"> </w:t>
      </w:r>
      <w:r>
        <w:rPr>
          <w:bCs/>
        </w:rPr>
        <w:t>T</w:t>
      </w:r>
      <w:r w:rsidR="000F7674" w:rsidRPr="000F7674">
        <w:rPr>
          <w:bCs/>
        </w:rPr>
        <w:t xml:space="preserve">he Commission is not concerned with which version the company </w:t>
      </w:r>
      <w:r w:rsidR="00B01DED" w:rsidRPr="000F7674">
        <w:rPr>
          <w:bCs/>
        </w:rPr>
        <w:t>cho</w:t>
      </w:r>
      <w:r w:rsidR="00B01DED">
        <w:rPr>
          <w:bCs/>
        </w:rPr>
        <w:t>os</w:t>
      </w:r>
      <w:r w:rsidR="00B01DED" w:rsidRPr="000F7674">
        <w:rPr>
          <w:bCs/>
        </w:rPr>
        <w:t xml:space="preserve">es </w:t>
      </w:r>
      <w:r w:rsidR="000F7674" w:rsidRPr="000F7674">
        <w:rPr>
          <w:bCs/>
        </w:rPr>
        <w:t>to use, as long as it has Word and Excel.</w:t>
      </w:r>
    </w:p>
    <w:p w14:paraId="14FB25ED" w14:textId="77777777" w:rsidR="000F7674" w:rsidRPr="000F7674" w:rsidRDefault="000F7674" w:rsidP="006A7573">
      <w:pPr>
        <w:rPr>
          <w:bCs/>
        </w:rPr>
      </w:pPr>
    </w:p>
    <w:p w14:paraId="01EAB311" w14:textId="531EE005" w:rsidR="000F7674" w:rsidRPr="000F7674" w:rsidRDefault="000F7674" w:rsidP="006A7573">
      <w:pPr>
        <w:rPr>
          <w:bCs/>
          <w:i/>
        </w:rPr>
      </w:pPr>
      <w:r w:rsidRPr="000F7674">
        <w:rPr>
          <w:bCs/>
          <w:i/>
        </w:rPr>
        <w:t xml:space="preserve">Microsoft Office </w:t>
      </w:r>
      <w:r w:rsidR="00B67424" w:rsidRPr="000F7674">
        <w:rPr>
          <w:bCs/>
          <w:i/>
        </w:rPr>
        <w:t>20</w:t>
      </w:r>
      <w:r w:rsidR="00B67424">
        <w:rPr>
          <w:bCs/>
          <w:i/>
        </w:rPr>
        <w:t>13</w:t>
      </w:r>
      <w:r w:rsidR="00B67424" w:rsidRPr="000F7674">
        <w:rPr>
          <w:bCs/>
          <w:i/>
        </w:rPr>
        <w:t xml:space="preserve"> </w:t>
      </w:r>
      <w:r w:rsidRPr="000F7674">
        <w:rPr>
          <w:bCs/>
          <w:i/>
        </w:rPr>
        <w:t>Chart</w:t>
      </w:r>
    </w:p>
    <w:p w14:paraId="23E44EF8" w14:textId="62850B90" w:rsidR="00663F7F" w:rsidRDefault="00663F7F" w:rsidP="006A7573"/>
    <w:tbl>
      <w:tblPr>
        <w:tblW w:w="5000" w:type="pct"/>
        <w:tblCellMar>
          <w:left w:w="0" w:type="dxa"/>
          <w:right w:w="0" w:type="dxa"/>
        </w:tblCellMar>
        <w:tblLook w:val="04A0" w:firstRow="1" w:lastRow="0" w:firstColumn="1" w:lastColumn="0" w:noHBand="0" w:noVBand="1"/>
      </w:tblPr>
      <w:tblGrid>
        <w:gridCol w:w="4564"/>
        <w:gridCol w:w="1342"/>
        <w:gridCol w:w="1516"/>
        <w:gridCol w:w="1917"/>
        <w:gridCol w:w="21"/>
      </w:tblGrid>
      <w:tr w:rsidR="00FA6A38" w:rsidRPr="00FA6A38" w14:paraId="565A51DC" w14:textId="77777777" w:rsidTr="00343C9C">
        <w:trPr>
          <w:gridAfter w:val="4"/>
          <w:wAfter w:w="2562" w:type="pct"/>
        </w:trPr>
        <w:tc>
          <w:tcPr>
            <w:tcW w:w="2438" w:type="pct"/>
            <w:vAlign w:val="center"/>
            <w:hideMark/>
          </w:tcPr>
          <w:p w14:paraId="08B657FE" w14:textId="77777777" w:rsidR="00FA6A38" w:rsidRPr="00FA6A38" w:rsidRDefault="00FA6A38" w:rsidP="00FA6A38">
            <w:pPr>
              <w:overflowPunct/>
              <w:autoSpaceDE/>
              <w:autoSpaceDN/>
              <w:adjustRightInd/>
              <w:textAlignment w:val="auto"/>
              <w:rPr>
                <w:sz w:val="20"/>
                <w:szCs w:val="24"/>
              </w:rPr>
            </w:pPr>
          </w:p>
        </w:tc>
      </w:tr>
      <w:tr w:rsidR="00FA6A38" w:rsidRPr="00FA6A38" w14:paraId="43AF25AE" w14:textId="77777777" w:rsidTr="00343C9C">
        <w:tc>
          <w:tcPr>
            <w:tcW w:w="2438" w:type="pct"/>
            <w:tcBorders>
              <w:top w:val="nil"/>
              <w:left w:val="nil"/>
              <w:bottom w:val="single" w:sz="6" w:space="0" w:color="EEEEEE"/>
              <w:right w:val="single" w:sz="6" w:space="0" w:color="EEEEEE"/>
            </w:tcBorders>
            <w:tcMar>
              <w:top w:w="45" w:type="dxa"/>
              <w:left w:w="150" w:type="dxa"/>
              <w:bottom w:w="105" w:type="dxa"/>
              <w:right w:w="45" w:type="dxa"/>
            </w:tcMar>
            <w:vAlign w:val="center"/>
          </w:tcPr>
          <w:p w14:paraId="620353AA" w14:textId="77777777" w:rsidR="00FA6A38" w:rsidRPr="00FA6A38" w:rsidRDefault="00FA6A38" w:rsidP="00FA6A38">
            <w:pPr>
              <w:overflowPunct/>
              <w:autoSpaceDE/>
              <w:autoSpaceDN/>
              <w:adjustRightInd/>
              <w:spacing w:line="210" w:lineRule="atLeast"/>
              <w:rPr>
                <w:rFonts w:ascii="Arial" w:hAnsi="Arial" w:cs="Arial"/>
                <w:color w:val="1C3A54"/>
                <w:sz w:val="18"/>
                <w:szCs w:val="18"/>
              </w:rPr>
            </w:pPr>
          </w:p>
        </w:tc>
        <w:tc>
          <w:tcPr>
            <w:tcW w:w="717" w:type="pct"/>
            <w:tcBorders>
              <w:top w:val="nil"/>
              <w:left w:val="nil"/>
              <w:bottom w:val="single" w:sz="6" w:space="0" w:color="EEEEEE"/>
              <w:right w:val="single" w:sz="6" w:space="0" w:color="EEEEEE"/>
            </w:tcBorders>
            <w:tcMar>
              <w:top w:w="45" w:type="dxa"/>
              <w:left w:w="150" w:type="dxa"/>
              <w:bottom w:w="105" w:type="dxa"/>
              <w:right w:w="45" w:type="dxa"/>
            </w:tcMar>
            <w:vAlign w:val="center"/>
          </w:tcPr>
          <w:p w14:paraId="34AD8C6E" w14:textId="77777777" w:rsidR="00FA6A38" w:rsidRPr="00FA6A38" w:rsidRDefault="00FA6A38" w:rsidP="00FA6A38">
            <w:pPr>
              <w:overflowPunct/>
              <w:autoSpaceDE/>
              <w:autoSpaceDN/>
              <w:adjustRightInd/>
              <w:spacing w:line="210" w:lineRule="atLeast"/>
              <w:rPr>
                <w:rFonts w:ascii="Arial" w:hAnsi="Arial" w:cs="Arial"/>
                <w:color w:val="1C3A54"/>
                <w:sz w:val="18"/>
                <w:szCs w:val="18"/>
              </w:rPr>
            </w:pPr>
            <w:r w:rsidRPr="00FA6A38">
              <w:rPr>
                <w:rFonts w:ascii="Arial" w:hAnsi="Arial" w:cs="Arial"/>
                <w:color w:val="1C3A54"/>
                <w:sz w:val="18"/>
                <w:szCs w:val="18"/>
              </w:rPr>
              <w:br/>
            </w:r>
            <w:r w:rsidRPr="00FA6A38">
              <w:rPr>
                <w:rFonts w:ascii="Arial" w:hAnsi="Arial" w:cs="Arial"/>
                <w:noProof/>
                <w:color w:val="1C3A54"/>
                <w:sz w:val="18"/>
                <w:szCs w:val="18"/>
              </w:rPr>
              <w:drawing>
                <wp:inline distT="0" distB="0" distL="0" distR="0" wp14:anchorId="3B7A968B" wp14:editId="68EE2C55">
                  <wp:extent cx="285750" cy="419100"/>
                  <wp:effectExtent l="0" t="0" r="0" b="0"/>
                  <wp:docPr id="30" name="Picture 30" descr="http://media.zones.com/images/static/home-student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media.zones.com/images/static/home-student201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 cy="419100"/>
                          </a:xfrm>
                          <a:prstGeom prst="rect">
                            <a:avLst/>
                          </a:prstGeom>
                          <a:noFill/>
                          <a:ln>
                            <a:noFill/>
                          </a:ln>
                        </pic:spPr>
                      </pic:pic>
                    </a:graphicData>
                  </a:graphic>
                </wp:inline>
              </w:drawing>
            </w:r>
          </w:p>
          <w:p w14:paraId="00F1327A" w14:textId="77777777" w:rsidR="00FA6A38" w:rsidRPr="00FA6A38" w:rsidRDefault="00FA6A38" w:rsidP="00FA6A38">
            <w:pPr>
              <w:overflowPunct/>
              <w:autoSpaceDE/>
              <w:autoSpaceDN/>
              <w:adjustRightInd/>
              <w:spacing w:line="210" w:lineRule="atLeast"/>
              <w:rPr>
                <w:rFonts w:ascii="Arial" w:hAnsi="Arial" w:cs="Arial"/>
                <w:color w:val="1C3A54"/>
                <w:sz w:val="18"/>
                <w:szCs w:val="18"/>
              </w:rPr>
            </w:pPr>
            <w:r w:rsidRPr="00FA6A38">
              <w:rPr>
                <w:rFonts w:ascii="Arial" w:hAnsi="Arial" w:cs="Arial"/>
                <w:b/>
                <w:bCs/>
                <w:color w:val="1C3A54"/>
                <w:sz w:val="17"/>
                <w:szCs w:val="17"/>
                <w:bdr w:val="none" w:sz="0" w:space="0" w:color="auto" w:frame="1"/>
              </w:rPr>
              <w:t>Home &amp; </w:t>
            </w:r>
            <w:r w:rsidRPr="00FA6A38">
              <w:rPr>
                <w:rFonts w:ascii="Arial" w:hAnsi="Arial" w:cs="Arial"/>
                <w:b/>
                <w:bCs/>
                <w:color w:val="1C3A54"/>
                <w:sz w:val="17"/>
                <w:szCs w:val="17"/>
                <w:bdr w:val="none" w:sz="0" w:space="0" w:color="auto" w:frame="1"/>
              </w:rPr>
              <w:br/>
              <w:t>Student </w:t>
            </w:r>
            <w:r w:rsidRPr="00FA6A38">
              <w:rPr>
                <w:rFonts w:ascii="Arial" w:hAnsi="Arial" w:cs="Arial"/>
                <w:b/>
                <w:bCs/>
                <w:color w:val="1C3A54"/>
                <w:sz w:val="17"/>
                <w:szCs w:val="17"/>
                <w:bdr w:val="none" w:sz="0" w:space="0" w:color="auto" w:frame="1"/>
              </w:rPr>
              <w:br/>
              <w:t>2013</w:t>
            </w:r>
          </w:p>
        </w:tc>
        <w:tc>
          <w:tcPr>
            <w:tcW w:w="810" w:type="pct"/>
            <w:tcBorders>
              <w:top w:val="nil"/>
              <w:left w:val="nil"/>
              <w:bottom w:val="single" w:sz="6" w:space="0" w:color="EEEEEE"/>
              <w:right w:val="single" w:sz="6" w:space="0" w:color="EEEEEE"/>
            </w:tcBorders>
            <w:tcMar>
              <w:top w:w="45" w:type="dxa"/>
              <w:left w:w="150" w:type="dxa"/>
              <w:bottom w:w="105" w:type="dxa"/>
              <w:right w:w="45" w:type="dxa"/>
            </w:tcMar>
            <w:vAlign w:val="center"/>
          </w:tcPr>
          <w:p w14:paraId="402A35FB" w14:textId="77777777" w:rsidR="00FA6A38" w:rsidRPr="00FA6A38" w:rsidRDefault="00FA6A38" w:rsidP="00FA6A38">
            <w:pPr>
              <w:overflowPunct/>
              <w:autoSpaceDE/>
              <w:autoSpaceDN/>
              <w:adjustRightInd/>
              <w:spacing w:line="210" w:lineRule="atLeast"/>
              <w:rPr>
                <w:rFonts w:ascii="Arial" w:hAnsi="Arial" w:cs="Arial"/>
                <w:color w:val="1C3A54"/>
                <w:sz w:val="18"/>
                <w:szCs w:val="18"/>
              </w:rPr>
            </w:pPr>
            <w:r w:rsidRPr="00FA6A38">
              <w:rPr>
                <w:rFonts w:ascii="Arial" w:hAnsi="Arial" w:cs="Arial"/>
                <w:noProof/>
                <w:color w:val="1C3A54"/>
                <w:sz w:val="18"/>
                <w:szCs w:val="18"/>
              </w:rPr>
              <w:drawing>
                <wp:inline distT="0" distB="0" distL="0" distR="0" wp14:anchorId="1427B0EB" wp14:editId="51BADA66">
                  <wp:extent cx="285750" cy="419100"/>
                  <wp:effectExtent l="0" t="0" r="0" b="0"/>
                  <wp:docPr id="29" name="Picture 29" descr="http://media.zones.com/images/static/home-business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media.zones.com/images/static/home-business2013.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 cy="419100"/>
                          </a:xfrm>
                          <a:prstGeom prst="rect">
                            <a:avLst/>
                          </a:prstGeom>
                          <a:noFill/>
                          <a:ln>
                            <a:noFill/>
                          </a:ln>
                        </pic:spPr>
                      </pic:pic>
                    </a:graphicData>
                  </a:graphic>
                </wp:inline>
              </w:drawing>
            </w:r>
          </w:p>
          <w:p w14:paraId="2E65B8D9" w14:textId="77777777" w:rsidR="00FA6A38" w:rsidRPr="00FA6A38" w:rsidRDefault="00FA6A38" w:rsidP="00FA6A38">
            <w:pPr>
              <w:overflowPunct/>
              <w:autoSpaceDE/>
              <w:autoSpaceDN/>
              <w:adjustRightInd/>
              <w:spacing w:line="210" w:lineRule="atLeast"/>
              <w:rPr>
                <w:rFonts w:ascii="Arial" w:hAnsi="Arial" w:cs="Arial"/>
                <w:color w:val="1C3A54"/>
                <w:sz w:val="18"/>
                <w:szCs w:val="18"/>
              </w:rPr>
            </w:pPr>
            <w:r w:rsidRPr="00FA6A38">
              <w:rPr>
                <w:rFonts w:ascii="Arial" w:hAnsi="Arial" w:cs="Arial"/>
                <w:b/>
                <w:bCs/>
                <w:color w:val="1C3A54"/>
                <w:sz w:val="17"/>
                <w:szCs w:val="17"/>
                <w:bdr w:val="none" w:sz="0" w:space="0" w:color="auto" w:frame="1"/>
              </w:rPr>
              <w:t>Home &amp;</w:t>
            </w:r>
            <w:r w:rsidRPr="00FA6A38">
              <w:rPr>
                <w:rFonts w:ascii="Arial" w:hAnsi="Arial" w:cs="Arial"/>
                <w:b/>
                <w:bCs/>
                <w:color w:val="1C3A54"/>
                <w:sz w:val="17"/>
                <w:szCs w:val="17"/>
                <w:bdr w:val="none" w:sz="0" w:space="0" w:color="auto" w:frame="1"/>
              </w:rPr>
              <w:br/>
              <w:t>Business </w:t>
            </w:r>
            <w:r w:rsidRPr="00FA6A38">
              <w:rPr>
                <w:rFonts w:ascii="Arial" w:hAnsi="Arial" w:cs="Arial"/>
                <w:b/>
                <w:bCs/>
                <w:color w:val="1C3A54"/>
                <w:sz w:val="17"/>
                <w:szCs w:val="17"/>
                <w:bdr w:val="none" w:sz="0" w:space="0" w:color="auto" w:frame="1"/>
              </w:rPr>
              <w:br/>
              <w:t>2013</w:t>
            </w:r>
          </w:p>
        </w:tc>
        <w:tc>
          <w:tcPr>
            <w:tcW w:w="1024" w:type="pct"/>
            <w:tcBorders>
              <w:top w:val="nil"/>
              <w:left w:val="nil"/>
              <w:bottom w:val="single" w:sz="6" w:space="0" w:color="EEEEEE"/>
              <w:right w:val="single" w:sz="6" w:space="0" w:color="EEEEEE"/>
            </w:tcBorders>
            <w:tcMar>
              <w:top w:w="45" w:type="dxa"/>
              <w:left w:w="150" w:type="dxa"/>
              <w:bottom w:w="105" w:type="dxa"/>
              <w:right w:w="45" w:type="dxa"/>
            </w:tcMar>
            <w:vAlign w:val="center"/>
          </w:tcPr>
          <w:p w14:paraId="0F7139E5" w14:textId="77777777" w:rsidR="00FA6A38" w:rsidRPr="00FA6A38" w:rsidRDefault="00FA6A38" w:rsidP="00FA6A38">
            <w:pPr>
              <w:overflowPunct/>
              <w:autoSpaceDE/>
              <w:autoSpaceDN/>
              <w:adjustRightInd/>
              <w:spacing w:line="210" w:lineRule="atLeast"/>
              <w:rPr>
                <w:rFonts w:ascii="Arial" w:hAnsi="Arial" w:cs="Arial"/>
                <w:color w:val="1C3A54"/>
                <w:sz w:val="18"/>
                <w:szCs w:val="18"/>
              </w:rPr>
            </w:pPr>
            <w:r w:rsidRPr="00FA6A38">
              <w:rPr>
                <w:rFonts w:ascii="Arial" w:hAnsi="Arial" w:cs="Arial"/>
                <w:noProof/>
                <w:color w:val="1C3A54"/>
                <w:sz w:val="18"/>
                <w:szCs w:val="18"/>
              </w:rPr>
              <w:drawing>
                <wp:inline distT="0" distB="0" distL="0" distR="0" wp14:anchorId="08594949" wp14:editId="645D1AE8">
                  <wp:extent cx="285750" cy="419100"/>
                  <wp:effectExtent l="0" t="0" r="0" b="0"/>
                  <wp:docPr id="28" name="Picture 28" descr="http://media.zones.com/images/static/professional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media.zones.com/images/static/professional2013.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 cy="419100"/>
                          </a:xfrm>
                          <a:prstGeom prst="rect">
                            <a:avLst/>
                          </a:prstGeom>
                          <a:noFill/>
                          <a:ln>
                            <a:noFill/>
                          </a:ln>
                        </pic:spPr>
                      </pic:pic>
                    </a:graphicData>
                  </a:graphic>
                </wp:inline>
              </w:drawing>
            </w:r>
          </w:p>
          <w:p w14:paraId="05C6D099" w14:textId="77777777" w:rsidR="00FA6A38" w:rsidRPr="00FA6A38" w:rsidRDefault="00FA6A38" w:rsidP="00FA6A38">
            <w:pPr>
              <w:overflowPunct/>
              <w:autoSpaceDE/>
              <w:autoSpaceDN/>
              <w:adjustRightInd/>
              <w:spacing w:line="210" w:lineRule="atLeast"/>
              <w:rPr>
                <w:rFonts w:ascii="Arial" w:hAnsi="Arial" w:cs="Arial"/>
                <w:color w:val="1C3A54"/>
                <w:sz w:val="18"/>
                <w:szCs w:val="18"/>
              </w:rPr>
            </w:pPr>
            <w:r w:rsidRPr="00FA6A38">
              <w:rPr>
                <w:rFonts w:ascii="Arial" w:hAnsi="Arial" w:cs="Arial"/>
                <w:b/>
                <w:bCs/>
                <w:color w:val="1C3A54"/>
                <w:sz w:val="17"/>
                <w:szCs w:val="17"/>
                <w:bdr w:val="none" w:sz="0" w:space="0" w:color="auto" w:frame="1"/>
              </w:rPr>
              <w:t>Professional </w:t>
            </w:r>
            <w:r w:rsidRPr="00FA6A38">
              <w:rPr>
                <w:rFonts w:ascii="Arial" w:hAnsi="Arial" w:cs="Arial"/>
                <w:b/>
                <w:bCs/>
                <w:color w:val="1C3A54"/>
                <w:sz w:val="17"/>
                <w:szCs w:val="17"/>
                <w:bdr w:val="none" w:sz="0" w:space="0" w:color="auto" w:frame="1"/>
              </w:rPr>
              <w:br/>
              <w:t>2013</w:t>
            </w:r>
          </w:p>
        </w:tc>
        <w:tc>
          <w:tcPr>
            <w:tcW w:w="11" w:type="pct"/>
            <w:vAlign w:val="bottom"/>
          </w:tcPr>
          <w:p w14:paraId="373D3F38" w14:textId="77777777" w:rsidR="00FA6A38" w:rsidRPr="00FA6A38" w:rsidRDefault="00FA6A38" w:rsidP="00FA6A38">
            <w:pPr>
              <w:overflowPunct/>
              <w:autoSpaceDE/>
              <w:autoSpaceDN/>
              <w:adjustRightInd/>
              <w:textAlignment w:val="auto"/>
              <w:rPr>
                <w:sz w:val="20"/>
              </w:rPr>
            </w:pPr>
          </w:p>
        </w:tc>
      </w:tr>
      <w:tr w:rsidR="00FA6A38" w:rsidRPr="00FA6A38" w14:paraId="4B671F37" w14:textId="77777777" w:rsidTr="00343C9C">
        <w:tc>
          <w:tcPr>
            <w:tcW w:w="5000" w:type="pct"/>
            <w:gridSpan w:val="5"/>
            <w:tcBorders>
              <w:top w:val="nil"/>
              <w:left w:val="nil"/>
              <w:bottom w:val="single" w:sz="6" w:space="0" w:color="EEEEEE"/>
              <w:right w:val="single" w:sz="6" w:space="0" w:color="EEEEEE"/>
            </w:tcBorders>
            <w:shd w:val="clear" w:color="auto" w:fill="EEEEEE"/>
            <w:vAlign w:val="center"/>
            <w:hideMark/>
          </w:tcPr>
          <w:p w14:paraId="314551FD" w14:textId="77777777" w:rsidR="00FA6A38" w:rsidRPr="00FA6A38" w:rsidRDefault="00FA6A38" w:rsidP="00FA6A38">
            <w:pPr>
              <w:overflowPunct/>
              <w:autoSpaceDE/>
              <w:autoSpaceDN/>
              <w:adjustRightInd/>
              <w:textAlignment w:val="auto"/>
              <w:rPr>
                <w:rFonts w:ascii="Arial" w:hAnsi="Arial" w:cs="Arial"/>
                <w:color w:val="1C3A54"/>
                <w:sz w:val="24"/>
                <w:szCs w:val="24"/>
              </w:rPr>
            </w:pPr>
            <w:r w:rsidRPr="00FA6A38">
              <w:rPr>
                <w:rFonts w:ascii="Arial" w:hAnsi="Arial" w:cs="Arial"/>
                <w:b/>
                <w:bCs/>
                <w:color w:val="1C3A54"/>
                <w:sz w:val="24"/>
                <w:szCs w:val="24"/>
                <w:bdr w:val="none" w:sz="0" w:space="0" w:color="auto" w:frame="1"/>
              </w:rPr>
              <w:t>Pick the right Office for you</w:t>
            </w:r>
          </w:p>
        </w:tc>
      </w:tr>
      <w:tr w:rsidR="00FA6A38" w:rsidRPr="00FA6A38" w14:paraId="28B7EEA6" w14:textId="77777777" w:rsidTr="00343C9C">
        <w:trPr>
          <w:gridAfter w:val="1"/>
          <w:wAfter w:w="11" w:type="pct"/>
        </w:trPr>
        <w:tc>
          <w:tcPr>
            <w:tcW w:w="2438" w:type="pct"/>
            <w:tcBorders>
              <w:top w:val="nil"/>
              <w:left w:val="nil"/>
              <w:bottom w:val="single" w:sz="6" w:space="0" w:color="EEEEEE"/>
              <w:right w:val="single" w:sz="6" w:space="0" w:color="EEEEEE"/>
            </w:tcBorders>
            <w:tcMar>
              <w:top w:w="45" w:type="dxa"/>
              <w:left w:w="150" w:type="dxa"/>
              <w:bottom w:w="105" w:type="dxa"/>
              <w:right w:w="45" w:type="dxa"/>
            </w:tcMar>
            <w:vAlign w:val="center"/>
            <w:hideMark/>
          </w:tcPr>
          <w:p w14:paraId="4E2565AF" w14:textId="77777777" w:rsidR="00FA6A38" w:rsidRPr="00FA6A38" w:rsidRDefault="00FA6A38" w:rsidP="00FA6A38">
            <w:pPr>
              <w:overflowPunct/>
              <w:autoSpaceDE/>
              <w:autoSpaceDN/>
              <w:adjustRightInd/>
              <w:textAlignment w:val="auto"/>
              <w:rPr>
                <w:rFonts w:ascii="Arial" w:hAnsi="Arial" w:cs="Arial"/>
                <w:color w:val="1C3A54"/>
                <w:sz w:val="21"/>
                <w:szCs w:val="21"/>
              </w:rPr>
            </w:pPr>
            <w:r w:rsidRPr="00FA6A38">
              <w:rPr>
                <w:rFonts w:ascii="Arial" w:hAnsi="Arial" w:cs="Arial"/>
                <w:b/>
                <w:bCs/>
                <w:color w:val="1C3A54"/>
                <w:sz w:val="21"/>
                <w:szCs w:val="21"/>
                <w:bdr w:val="none" w:sz="0" w:space="0" w:color="auto" w:frame="1"/>
              </w:rPr>
              <w:t>Licenses</w:t>
            </w:r>
          </w:p>
        </w:tc>
        <w:tc>
          <w:tcPr>
            <w:tcW w:w="717" w:type="pct"/>
            <w:tcBorders>
              <w:top w:val="nil"/>
              <w:left w:val="nil"/>
              <w:bottom w:val="single" w:sz="6" w:space="0" w:color="EEEEEE"/>
              <w:right w:val="single" w:sz="6" w:space="0" w:color="EEEEEE"/>
            </w:tcBorders>
            <w:tcMar>
              <w:top w:w="45" w:type="dxa"/>
              <w:left w:w="150" w:type="dxa"/>
              <w:bottom w:w="105" w:type="dxa"/>
              <w:right w:w="45" w:type="dxa"/>
            </w:tcMar>
            <w:vAlign w:val="center"/>
            <w:hideMark/>
          </w:tcPr>
          <w:p w14:paraId="0BBAC936" w14:textId="77777777" w:rsidR="00FA6A38" w:rsidRPr="00FA6A38" w:rsidRDefault="00FA6A38" w:rsidP="00FA6A38">
            <w:pPr>
              <w:overflowPunct/>
              <w:autoSpaceDE/>
              <w:autoSpaceDN/>
              <w:adjustRightInd/>
              <w:textAlignment w:val="auto"/>
              <w:rPr>
                <w:rFonts w:ascii="Arial" w:hAnsi="Arial" w:cs="Arial"/>
                <w:color w:val="1C3A54"/>
                <w:sz w:val="21"/>
                <w:szCs w:val="21"/>
              </w:rPr>
            </w:pPr>
            <w:r w:rsidRPr="00FA6A38">
              <w:rPr>
                <w:rFonts w:ascii="Arial" w:hAnsi="Arial" w:cs="Arial"/>
                <w:color w:val="1C3A54"/>
                <w:sz w:val="21"/>
                <w:szCs w:val="21"/>
              </w:rPr>
              <w:t>1PC</w:t>
            </w:r>
          </w:p>
        </w:tc>
        <w:tc>
          <w:tcPr>
            <w:tcW w:w="810" w:type="pct"/>
            <w:tcBorders>
              <w:top w:val="nil"/>
              <w:left w:val="nil"/>
              <w:bottom w:val="single" w:sz="6" w:space="0" w:color="EEEEEE"/>
              <w:right w:val="single" w:sz="6" w:space="0" w:color="EEEEEE"/>
            </w:tcBorders>
            <w:tcMar>
              <w:top w:w="45" w:type="dxa"/>
              <w:left w:w="150" w:type="dxa"/>
              <w:bottom w:w="105" w:type="dxa"/>
              <w:right w:w="45" w:type="dxa"/>
            </w:tcMar>
            <w:vAlign w:val="center"/>
            <w:hideMark/>
          </w:tcPr>
          <w:p w14:paraId="17C5DFE8" w14:textId="77777777" w:rsidR="00FA6A38" w:rsidRPr="00FA6A38" w:rsidRDefault="00FA6A38" w:rsidP="00FA6A38">
            <w:pPr>
              <w:overflowPunct/>
              <w:autoSpaceDE/>
              <w:autoSpaceDN/>
              <w:adjustRightInd/>
              <w:textAlignment w:val="auto"/>
              <w:rPr>
                <w:rFonts w:ascii="Arial" w:hAnsi="Arial" w:cs="Arial"/>
                <w:color w:val="1C3A54"/>
                <w:sz w:val="21"/>
                <w:szCs w:val="21"/>
              </w:rPr>
            </w:pPr>
            <w:r w:rsidRPr="00FA6A38">
              <w:rPr>
                <w:rFonts w:ascii="Arial" w:hAnsi="Arial" w:cs="Arial"/>
                <w:color w:val="1C3A54"/>
                <w:sz w:val="21"/>
                <w:szCs w:val="21"/>
              </w:rPr>
              <w:t>1PC</w:t>
            </w:r>
          </w:p>
        </w:tc>
        <w:tc>
          <w:tcPr>
            <w:tcW w:w="1024" w:type="pct"/>
            <w:tcBorders>
              <w:top w:val="nil"/>
              <w:left w:val="nil"/>
              <w:bottom w:val="single" w:sz="6" w:space="0" w:color="EEEEEE"/>
              <w:right w:val="single" w:sz="6" w:space="0" w:color="EEEEEE"/>
            </w:tcBorders>
            <w:tcMar>
              <w:top w:w="45" w:type="dxa"/>
              <w:left w:w="150" w:type="dxa"/>
              <w:bottom w:w="105" w:type="dxa"/>
              <w:right w:w="45" w:type="dxa"/>
            </w:tcMar>
            <w:vAlign w:val="center"/>
            <w:hideMark/>
          </w:tcPr>
          <w:p w14:paraId="1D2B7F1B" w14:textId="77777777" w:rsidR="00FA6A38" w:rsidRPr="00FA6A38" w:rsidRDefault="00FA6A38" w:rsidP="00FA6A38">
            <w:pPr>
              <w:overflowPunct/>
              <w:autoSpaceDE/>
              <w:autoSpaceDN/>
              <w:adjustRightInd/>
              <w:textAlignment w:val="auto"/>
              <w:rPr>
                <w:rFonts w:ascii="Arial" w:hAnsi="Arial" w:cs="Arial"/>
                <w:color w:val="1C3A54"/>
                <w:sz w:val="21"/>
                <w:szCs w:val="21"/>
              </w:rPr>
            </w:pPr>
            <w:r w:rsidRPr="00FA6A38">
              <w:rPr>
                <w:rFonts w:ascii="Arial" w:hAnsi="Arial" w:cs="Arial"/>
                <w:color w:val="1C3A54"/>
                <w:sz w:val="21"/>
                <w:szCs w:val="21"/>
              </w:rPr>
              <w:t>1PC</w:t>
            </w:r>
          </w:p>
        </w:tc>
      </w:tr>
      <w:tr w:rsidR="00FA6A38" w:rsidRPr="00FA6A38" w14:paraId="1DF04ADD" w14:textId="77777777" w:rsidTr="00343C9C">
        <w:trPr>
          <w:gridAfter w:val="1"/>
          <w:wAfter w:w="11" w:type="pct"/>
        </w:trPr>
        <w:tc>
          <w:tcPr>
            <w:tcW w:w="2438" w:type="pct"/>
            <w:tcBorders>
              <w:top w:val="nil"/>
              <w:left w:val="nil"/>
              <w:bottom w:val="single" w:sz="6" w:space="0" w:color="EEEEEE"/>
              <w:right w:val="single" w:sz="6" w:space="0" w:color="EEEEEE"/>
            </w:tcBorders>
            <w:tcMar>
              <w:top w:w="45" w:type="dxa"/>
              <w:left w:w="150" w:type="dxa"/>
              <w:bottom w:w="105" w:type="dxa"/>
              <w:right w:w="45" w:type="dxa"/>
            </w:tcMar>
            <w:vAlign w:val="center"/>
            <w:hideMark/>
          </w:tcPr>
          <w:p w14:paraId="334B26DB" w14:textId="7BCB8ACB" w:rsidR="00FA6A38" w:rsidRPr="00FA6A38" w:rsidRDefault="00FA6A38" w:rsidP="00FA6A38">
            <w:pPr>
              <w:overflowPunct/>
              <w:autoSpaceDE/>
              <w:autoSpaceDN/>
              <w:adjustRightInd/>
              <w:textAlignment w:val="auto"/>
              <w:rPr>
                <w:rFonts w:ascii="Arial" w:hAnsi="Arial" w:cs="Arial"/>
                <w:color w:val="1C3A54"/>
                <w:sz w:val="21"/>
                <w:szCs w:val="21"/>
              </w:rPr>
            </w:pPr>
            <w:r w:rsidRPr="00FA6A38">
              <w:rPr>
                <w:rFonts w:ascii="Arial" w:hAnsi="Arial" w:cs="Arial"/>
                <w:b/>
                <w:bCs/>
                <w:color w:val="1C3A54"/>
                <w:sz w:val="21"/>
                <w:szCs w:val="21"/>
                <w:bdr w:val="none" w:sz="0" w:space="0" w:color="auto" w:frame="1"/>
              </w:rPr>
              <w:t xml:space="preserve">Core Office </w:t>
            </w:r>
            <w:r w:rsidR="00025B93">
              <w:rPr>
                <w:rFonts w:ascii="Arial" w:hAnsi="Arial" w:cs="Arial"/>
                <w:b/>
                <w:bCs/>
                <w:color w:val="1C3A54"/>
                <w:sz w:val="21"/>
                <w:szCs w:val="21"/>
                <w:bdr w:val="none" w:sz="0" w:space="0" w:color="auto" w:frame="1"/>
              </w:rPr>
              <w:t>workbook</w:t>
            </w:r>
            <w:r w:rsidRPr="00FA6A38">
              <w:rPr>
                <w:rFonts w:ascii="Arial" w:hAnsi="Arial" w:cs="Arial"/>
                <w:b/>
                <w:bCs/>
                <w:color w:val="1C3A54"/>
                <w:sz w:val="21"/>
                <w:szCs w:val="21"/>
                <w:bdr w:val="none" w:sz="0" w:space="0" w:color="auto" w:frame="1"/>
              </w:rPr>
              <w:t>s:</w:t>
            </w:r>
          </w:p>
          <w:p w14:paraId="651E5D26" w14:textId="18BDC1CC" w:rsidR="00FA6A38" w:rsidRPr="00FA6A38" w:rsidRDefault="00FA6A38" w:rsidP="00FA6A38">
            <w:pPr>
              <w:overflowPunct/>
              <w:autoSpaceDE/>
              <w:autoSpaceDN/>
              <w:adjustRightInd/>
              <w:spacing w:after="360" w:line="210" w:lineRule="atLeast"/>
              <w:rPr>
                <w:rFonts w:ascii="Arial" w:hAnsi="Arial" w:cs="Arial"/>
                <w:color w:val="1C3A54"/>
                <w:sz w:val="21"/>
                <w:szCs w:val="21"/>
              </w:rPr>
            </w:pPr>
            <w:r w:rsidRPr="00FA6A38">
              <w:rPr>
                <w:rFonts w:ascii="Arial" w:hAnsi="Arial" w:cs="Arial"/>
                <w:color w:val="1C3A54"/>
                <w:sz w:val="21"/>
                <w:szCs w:val="21"/>
              </w:rPr>
              <w:t xml:space="preserve">Word, </w:t>
            </w:r>
            <w:r w:rsidRPr="00343C9C">
              <w:rPr>
                <w:rFonts w:ascii="Arial" w:hAnsi="Arial" w:cs="Arial"/>
                <w:b/>
                <w:color w:val="1C3A54"/>
                <w:sz w:val="21"/>
                <w:szCs w:val="21"/>
              </w:rPr>
              <w:t>Excel</w:t>
            </w:r>
            <w:r w:rsidRPr="00FA6A38">
              <w:rPr>
                <w:rFonts w:ascii="Arial" w:hAnsi="Arial" w:cs="Arial"/>
                <w:color w:val="1C3A54"/>
                <w:sz w:val="21"/>
                <w:szCs w:val="21"/>
              </w:rPr>
              <w:t xml:space="preserve">, </w:t>
            </w:r>
            <w:r w:rsidR="005856EA" w:rsidRPr="00FA6A38">
              <w:rPr>
                <w:rFonts w:ascii="Arial" w:hAnsi="Arial" w:cs="Arial"/>
                <w:color w:val="1C3A54"/>
                <w:sz w:val="21"/>
                <w:szCs w:val="21"/>
              </w:rPr>
              <w:t>PowerPoint</w:t>
            </w:r>
          </w:p>
        </w:tc>
        <w:tc>
          <w:tcPr>
            <w:tcW w:w="717" w:type="pct"/>
            <w:tcBorders>
              <w:top w:val="nil"/>
              <w:left w:val="nil"/>
              <w:bottom w:val="single" w:sz="6" w:space="0" w:color="EEEEEE"/>
              <w:right w:val="single" w:sz="6" w:space="0" w:color="EEEEEE"/>
            </w:tcBorders>
            <w:tcMar>
              <w:top w:w="45" w:type="dxa"/>
              <w:left w:w="150" w:type="dxa"/>
              <w:bottom w:w="105" w:type="dxa"/>
              <w:right w:w="45" w:type="dxa"/>
            </w:tcMar>
            <w:vAlign w:val="center"/>
            <w:hideMark/>
          </w:tcPr>
          <w:p w14:paraId="58E8607B" w14:textId="77777777" w:rsidR="00FA6A38" w:rsidRPr="00FA6A38" w:rsidRDefault="00FA6A38" w:rsidP="00343C9C">
            <w:pPr>
              <w:overflowPunct/>
              <w:autoSpaceDE/>
              <w:autoSpaceDN/>
              <w:adjustRightInd/>
              <w:jc w:val="center"/>
              <w:textAlignment w:val="auto"/>
              <w:rPr>
                <w:rFonts w:ascii="Arial" w:hAnsi="Arial" w:cs="Arial"/>
                <w:color w:val="1C3A54"/>
                <w:sz w:val="21"/>
                <w:szCs w:val="21"/>
              </w:rPr>
            </w:pPr>
            <w:r w:rsidRPr="00FA6A38">
              <w:rPr>
                <w:rFonts w:ascii="Arial" w:hAnsi="Arial" w:cs="Arial"/>
                <w:noProof/>
                <w:color w:val="1C3A54"/>
                <w:sz w:val="21"/>
                <w:szCs w:val="21"/>
              </w:rPr>
              <w:drawing>
                <wp:inline distT="0" distB="0" distL="0" distR="0" wp14:anchorId="62DE289F" wp14:editId="7FC93CA4">
                  <wp:extent cx="228600" cy="190500"/>
                  <wp:effectExtent l="0" t="0" r="0" b="0"/>
                  <wp:docPr id="26" name="Picture 26" descr="http://media.zones.com/images/static/green-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media.zones.com/images/static/green-right.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810" w:type="pct"/>
            <w:tcBorders>
              <w:top w:val="nil"/>
              <w:left w:val="nil"/>
              <w:bottom w:val="single" w:sz="6" w:space="0" w:color="EEEEEE"/>
              <w:right w:val="single" w:sz="6" w:space="0" w:color="EEEEEE"/>
            </w:tcBorders>
            <w:tcMar>
              <w:top w:w="45" w:type="dxa"/>
              <w:left w:w="150" w:type="dxa"/>
              <w:bottom w:w="105" w:type="dxa"/>
              <w:right w:w="45" w:type="dxa"/>
            </w:tcMar>
            <w:vAlign w:val="center"/>
            <w:hideMark/>
          </w:tcPr>
          <w:p w14:paraId="65CA3B2E" w14:textId="77777777" w:rsidR="00FA6A38" w:rsidRPr="00FA6A38" w:rsidRDefault="00FA6A38" w:rsidP="00343C9C">
            <w:pPr>
              <w:overflowPunct/>
              <w:autoSpaceDE/>
              <w:autoSpaceDN/>
              <w:adjustRightInd/>
              <w:jc w:val="center"/>
              <w:textAlignment w:val="auto"/>
              <w:rPr>
                <w:rFonts w:ascii="Arial" w:hAnsi="Arial" w:cs="Arial"/>
                <w:color w:val="1C3A54"/>
                <w:sz w:val="21"/>
                <w:szCs w:val="21"/>
              </w:rPr>
            </w:pPr>
            <w:r w:rsidRPr="00FA6A38">
              <w:rPr>
                <w:rFonts w:ascii="Arial" w:hAnsi="Arial" w:cs="Arial"/>
                <w:noProof/>
                <w:color w:val="1C3A54"/>
                <w:sz w:val="21"/>
                <w:szCs w:val="21"/>
              </w:rPr>
              <w:drawing>
                <wp:inline distT="0" distB="0" distL="0" distR="0" wp14:anchorId="66285A75" wp14:editId="35233683">
                  <wp:extent cx="228600" cy="190500"/>
                  <wp:effectExtent l="0" t="0" r="0" b="0"/>
                  <wp:docPr id="25" name="Picture 25" descr="http://media.zones.com/images/static/green-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media.zones.com/images/static/green-right.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1024" w:type="pct"/>
            <w:tcBorders>
              <w:top w:val="nil"/>
              <w:left w:val="nil"/>
              <w:bottom w:val="single" w:sz="6" w:space="0" w:color="EEEEEE"/>
              <w:right w:val="single" w:sz="6" w:space="0" w:color="EEEEEE"/>
            </w:tcBorders>
            <w:tcMar>
              <w:top w:w="45" w:type="dxa"/>
              <w:left w:w="150" w:type="dxa"/>
              <w:bottom w:w="105" w:type="dxa"/>
              <w:right w:w="45" w:type="dxa"/>
            </w:tcMar>
            <w:vAlign w:val="center"/>
            <w:hideMark/>
          </w:tcPr>
          <w:p w14:paraId="1A4D2E27" w14:textId="77777777" w:rsidR="00FA6A38" w:rsidRPr="00FA6A38" w:rsidRDefault="00FA6A38" w:rsidP="00343C9C">
            <w:pPr>
              <w:overflowPunct/>
              <w:autoSpaceDE/>
              <w:autoSpaceDN/>
              <w:adjustRightInd/>
              <w:jc w:val="center"/>
              <w:textAlignment w:val="auto"/>
              <w:rPr>
                <w:rFonts w:ascii="Arial" w:hAnsi="Arial" w:cs="Arial"/>
                <w:color w:val="1C3A54"/>
                <w:sz w:val="21"/>
                <w:szCs w:val="21"/>
              </w:rPr>
            </w:pPr>
            <w:r w:rsidRPr="00FA6A38">
              <w:rPr>
                <w:rFonts w:ascii="Arial" w:hAnsi="Arial" w:cs="Arial"/>
                <w:noProof/>
                <w:color w:val="1C3A54"/>
                <w:sz w:val="21"/>
                <w:szCs w:val="21"/>
              </w:rPr>
              <w:drawing>
                <wp:inline distT="0" distB="0" distL="0" distR="0" wp14:anchorId="22EF0AAC" wp14:editId="47791C1C">
                  <wp:extent cx="228600" cy="190500"/>
                  <wp:effectExtent l="0" t="0" r="0" b="0"/>
                  <wp:docPr id="24" name="Picture 24" descr="http://media.zones.com/images/static/green-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media.zones.com/images/static/green-right.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r>
      <w:tr w:rsidR="00FA6A38" w:rsidRPr="00FA6A38" w14:paraId="0750D45C" w14:textId="77777777" w:rsidTr="00343C9C">
        <w:trPr>
          <w:gridAfter w:val="1"/>
          <w:wAfter w:w="11" w:type="pct"/>
        </w:trPr>
        <w:tc>
          <w:tcPr>
            <w:tcW w:w="2438" w:type="pct"/>
            <w:tcBorders>
              <w:top w:val="nil"/>
              <w:left w:val="nil"/>
              <w:bottom w:val="single" w:sz="6" w:space="0" w:color="EEEEEE"/>
              <w:right w:val="single" w:sz="6" w:space="0" w:color="EEEEEE"/>
            </w:tcBorders>
            <w:tcMar>
              <w:top w:w="45" w:type="dxa"/>
              <w:left w:w="150" w:type="dxa"/>
              <w:bottom w:w="105" w:type="dxa"/>
              <w:right w:w="45" w:type="dxa"/>
            </w:tcMar>
            <w:vAlign w:val="center"/>
            <w:hideMark/>
          </w:tcPr>
          <w:p w14:paraId="2674B8B5" w14:textId="77777777" w:rsidR="00FA6A38" w:rsidRPr="00FA6A38" w:rsidRDefault="00FA6A38" w:rsidP="00FA6A38">
            <w:pPr>
              <w:overflowPunct/>
              <w:autoSpaceDE/>
              <w:autoSpaceDN/>
              <w:adjustRightInd/>
              <w:textAlignment w:val="auto"/>
              <w:rPr>
                <w:rFonts w:ascii="Arial" w:hAnsi="Arial" w:cs="Arial"/>
                <w:color w:val="1C3A54"/>
                <w:sz w:val="21"/>
                <w:szCs w:val="21"/>
              </w:rPr>
            </w:pPr>
            <w:r w:rsidRPr="00FA6A38">
              <w:rPr>
                <w:rFonts w:ascii="Arial" w:hAnsi="Arial" w:cs="Arial"/>
                <w:b/>
                <w:bCs/>
                <w:color w:val="1C3A54"/>
                <w:sz w:val="21"/>
                <w:szCs w:val="21"/>
                <w:bdr w:val="none" w:sz="0" w:space="0" w:color="auto" w:frame="1"/>
              </w:rPr>
              <w:t>Digital notebook:</w:t>
            </w:r>
          </w:p>
          <w:p w14:paraId="66DEC8F9" w14:textId="682A4A9D" w:rsidR="00FA6A38" w:rsidRPr="00FA6A38" w:rsidRDefault="005856EA" w:rsidP="00FA6A38">
            <w:pPr>
              <w:overflowPunct/>
              <w:autoSpaceDE/>
              <w:autoSpaceDN/>
              <w:adjustRightInd/>
              <w:spacing w:after="360" w:line="210" w:lineRule="atLeast"/>
              <w:rPr>
                <w:rFonts w:ascii="Arial" w:hAnsi="Arial" w:cs="Arial"/>
                <w:color w:val="1C3A54"/>
                <w:sz w:val="21"/>
                <w:szCs w:val="21"/>
              </w:rPr>
            </w:pPr>
            <w:r w:rsidRPr="00FA6A38">
              <w:rPr>
                <w:rFonts w:ascii="Arial" w:hAnsi="Arial" w:cs="Arial"/>
                <w:color w:val="1C3A54"/>
                <w:sz w:val="21"/>
                <w:szCs w:val="21"/>
              </w:rPr>
              <w:t>OneNote</w:t>
            </w:r>
          </w:p>
        </w:tc>
        <w:tc>
          <w:tcPr>
            <w:tcW w:w="717" w:type="pct"/>
            <w:tcBorders>
              <w:top w:val="nil"/>
              <w:left w:val="nil"/>
              <w:bottom w:val="single" w:sz="6" w:space="0" w:color="EEEEEE"/>
              <w:right w:val="single" w:sz="6" w:space="0" w:color="EEEEEE"/>
            </w:tcBorders>
            <w:tcMar>
              <w:top w:w="45" w:type="dxa"/>
              <w:left w:w="150" w:type="dxa"/>
              <w:bottom w:w="105" w:type="dxa"/>
              <w:right w:w="45" w:type="dxa"/>
            </w:tcMar>
            <w:vAlign w:val="center"/>
            <w:hideMark/>
          </w:tcPr>
          <w:p w14:paraId="0BD0F4C4" w14:textId="77777777" w:rsidR="00FA6A38" w:rsidRPr="00FA6A38" w:rsidRDefault="00FA6A38" w:rsidP="00343C9C">
            <w:pPr>
              <w:overflowPunct/>
              <w:autoSpaceDE/>
              <w:autoSpaceDN/>
              <w:adjustRightInd/>
              <w:jc w:val="center"/>
              <w:textAlignment w:val="auto"/>
              <w:rPr>
                <w:rFonts w:ascii="Arial" w:hAnsi="Arial" w:cs="Arial"/>
                <w:color w:val="1C3A54"/>
                <w:sz w:val="21"/>
                <w:szCs w:val="21"/>
              </w:rPr>
            </w:pPr>
            <w:r w:rsidRPr="00FA6A38">
              <w:rPr>
                <w:rFonts w:ascii="Arial" w:hAnsi="Arial" w:cs="Arial"/>
                <w:noProof/>
                <w:color w:val="1C3A54"/>
                <w:sz w:val="21"/>
                <w:szCs w:val="21"/>
              </w:rPr>
              <w:drawing>
                <wp:inline distT="0" distB="0" distL="0" distR="0" wp14:anchorId="0C383DC9" wp14:editId="64A6F2CD">
                  <wp:extent cx="228600" cy="190500"/>
                  <wp:effectExtent l="0" t="0" r="0" b="0"/>
                  <wp:docPr id="22" name="Picture 22" descr="http://media.zones.com/images/static/green-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media.zones.com/images/static/green-right.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810" w:type="pct"/>
            <w:tcBorders>
              <w:top w:val="nil"/>
              <w:left w:val="nil"/>
              <w:bottom w:val="single" w:sz="6" w:space="0" w:color="EEEEEE"/>
              <w:right w:val="single" w:sz="6" w:space="0" w:color="EEEEEE"/>
            </w:tcBorders>
            <w:tcMar>
              <w:top w:w="45" w:type="dxa"/>
              <w:left w:w="150" w:type="dxa"/>
              <w:bottom w:w="105" w:type="dxa"/>
              <w:right w:w="45" w:type="dxa"/>
            </w:tcMar>
            <w:vAlign w:val="center"/>
            <w:hideMark/>
          </w:tcPr>
          <w:p w14:paraId="6A4AC3CA" w14:textId="77777777" w:rsidR="00FA6A38" w:rsidRPr="00FA6A38" w:rsidRDefault="00FA6A38" w:rsidP="00343C9C">
            <w:pPr>
              <w:overflowPunct/>
              <w:autoSpaceDE/>
              <w:autoSpaceDN/>
              <w:adjustRightInd/>
              <w:jc w:val="center"/>
              <w:textAlignment w:val="auto"/>
              <w:rPr>
                <w:rFonts w:ascii="Arial" w:hAnsi="Arial" w:cs="Arial"/>
                <w:color w:val="1C3A54"/>
                <w:sz w:val="21"/>
                <w:szCs w:val="21"/>
              </w:rPr>
            </w:pPr>
            <w:r w:rsidRPr="00FA6A38">
              <w:rPr>
                <w:rFonts w:ascii="Arial" w:hAnsi="Arial" w:cs="Arial"/>
                <w:noProof/>
                <w:color w:val="1C3A54"/>
                <w:sz w:val="21"/>
                <w:szCs w:val="21"/>
              </w:rPr>
              <w:drawing>
                <wp:inline distT="0" distB="0" distL="0" distR="0" wp14:anchorId="73BD97CF" wp14:editId="4B75CB45">
                  <wp:extent cx="228600" cy="190500"/>
                  <wp:effectExtent l="0" t="0" r="0" b="0"/>
                  <wp:docPr id="21" name="Picture 21" descr="http://media.zones.com/images/static/green-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media.zones.com/images/static/green-right.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1024" w:type="pct"/>
            <w:tcBorders>
              <w:top w:val="nil"/>
              <w:left w:val="nil"/>
              <w:bottom w:val="single" w:sz="6" w:space="0" w:color="EEEEEE"/>
              <w:right w:val="single" w:sz="6" w:space="0" w:color="EEEEEE"/>
            </w:tcBorders>
            <w:tcMar>
              <w:top w:w="45" w:type="dxa"/>
              <w:left w:w="150" w:type="dxa"/>
              <w:bottom w:w="105" w:type="dxa"/>
              <w:right w:w="45" w:type="dxa"/>
            </w:tcMar>
            <w:vAlign w:val="center"/>
            <w:hideMark/>
          </w:tcPr>
          <w:p w14:paraId="51460C40" w14:textId="77777777" w:rsidR="00FA6A38" w:rsidRPr="00FA6A38" w:rsidRDefault="00FA6A38" w:rsidP="00343C9C">
            <w:pPr>
              <w:overflowPunct/>
              <w:autoSpaceDE/>
              <w:autoSpaceDN/>
              <w:adjustRightInd/>
              <w:jc w:val="center"/>
              <w:textAlignment w:val="auto"/>
              <w:rPr>
                <w:rFonts w:ascii="Arial" w:hAnsi="Arial" w:cs="Arial"/>
                <w:color w:val="1C3A54"/>
                <w:sz w:val="21"/>
                <w:szCs w:val="21"/>
              </w:rPr>
            </w:pPr>
            <w:r w:rsidRPr="00FA6A38">
              <w:rPr>
                <w:rFonts w:ascii="Arial" w:hAnsi="Arial" w:cs="Arial"/>
                <w:noProof/>
                <w:color w:val="1C3A54"/>
                <w:sz w:val="21"/>
                <w:szCs w:val="21"/>
              </w:rPr>
              <w:drawing>
                <wp:inline distT="0" distB="0" distL="0" distR="0" wp14:anchorId="010405A4" wp14:editId="12590374">
                  <wp:extent cx="228600" cy="190500"/>
                  <wp:effectExtent l="0" t="0" r="0" b="0"/>
                  <wp:docPr id="20" name="Picture 20" descr="http://media.zones.com/images/static/green-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media.zones.com/images/static/green-right.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r>
      <w:tr w:rsidR="00FA6A38" w:rsidRPr="00FA6A38" w14:paraId="7B72D84F" w14:textId="77777777" w:rsidTr="00343C9C">
        <w:trPr>
          <w:gridAfter w:val="1"/>
          <w:wAfter w:w="11" w:type="pct"/>
          <w:trHeight w:val="1197"/>
        </w:trPr>
        <w:tc>
          <w:tcPr>
            <w:tcW w:w="2438" w:type="pct"/>
            <w:tcBorders>
              <w:top w:val="nil"/>
              <w:left w:val="nil"/>
              <w:bottom w:val="single" w:sz="6" w:space="0" w:color="EEEEEE"/>
              <w:right w:val="single" w:sz="6" w:space="0" w:color="EEEEEE"/>
            </w:tcBorders>
            <w:tcMar>
              <w:top w:w="45" w:type="dxa"/>
              <w:left w:w="150" w:type="dxa"/>
              <w:bottom w:w="105" w:type="dxa"/>
              <w:right w:w="45" w:type="dxa"/>
            </w:tcMar>
            <w:vAlign w:val="center"/>
            <w:hideMark/>
          </w:tcPr>
          <w:p w14:paraId="42EF907C" w14:textId="77777777" w:rsidR="00FA6A38" w:rsidRPr="00FA6A38" w:rsidRDefault="00FA6A38" w:rsidP="00FA6A38">
            <w:pPr>
              <w:overflowPunct/>
              <w:autoSpaceDE/>
              <w:autoSpaceDN/>
              <w:adjustRightInd/>
              <w:textAlignment w:val="auto"/>
              <w:rPr>
                <w:rFonts w:ascii="Arial" w:hAnsi="Arial" w:cs="Arial"/>
                <w:color w:val="1C3A54"/>
                <w:sz w:val="21"/>
                <w:szCs w:val="21"/>
              </w:rPr>
            </w:pPr>
            <w:r w:rsidRPr="00FA6A38">
              <w:rPr>
                <w:rFonts w:ascii="Arial" w:hAnsi="Arial" w:cs="Arial"/>
                <w:b/>
                <w:bCs/>
                <w:color w:val="1C3A54"/>
                <w:sz w:val="21"/>
                <w:szCs w:val="21"/>
                <w:bdr w:val="none" w:sz="0" w:space="0" w:color="auto" w:frame="1"/>
              </w:rPr>
              <w:t>Email, calendars, and tasks:</w:t>
            </w:r>
          </w:p>
          <w:p w14:paraId="7B86AE53" w14:textId="77777777" w:rsidR="00FA6A38" w:rsidRPr="00FA6A38" w:rsidRDefault="00FA6A38" w:rsidP="00FA6A38">
            <w:pPr>
              <w:overflowPunct/>
              <w:autoSpaceDE/>
              <w:autoSpaceDN/>
              <w:adjustRightInd/>
              <w:spacing w:after="360" w:line="210" w:lineRule="atLeast"/>
              <w:rPr>
                <w:rFonts w:ascii="Arial" w:hAnsi="Arial" w:cs="Arial"/>
                <w:color w:val="1C3A54"/>
                <w:sz w:val="21"/>
                <w:szCs w:val="21"/>
              </w:rPr>
            </w:pPr>
            <w:r w:rsidRPr="00FA6A38">
              <w:rPr>
                <w:rFonts w:ascii="Arial" w:hAnsi="Arial" w:cs="Arial"/>
                <w:color w:val="1C3A54"/>
                <w:sz w:val="21"/>
                <w:szCs w:val="21"/>
              </w:rPr>
              <w:t>Outlook</w:t>
            </w:r>
          </w:p>
        </w:tc>
        <w:tc>
          <w:tcPr>
            <w:tcW w:w="717" w:type="pct"/>
            <w:tcBorders>
              <w:top w:val="nil"/>
              <w:left w:val="nil"/>
              <w:bottom w:val="single" w:sz="6" w:space="0" w:color="EEEEEE"/>
              <w:right w:val="single" w:sz="6" w:space="0" w:color="EEEEEE"/>
            </w:tcBorders>
            <w:tcMar>
              <w:top w:w="45" w:type="dxa"/>
              <w:left w:w="150" w:type="dxa"/>
              <w:bottom w:w="105" w:type="dxa"/>
              <w:right w:w="45" w:type="dxa"/>
            </w:tcMar>
            <w:vAlign w:val="center"/>
            <w:hideMark/>
          </w:tcPr>
          <w:p w14:paraId="78DA98B7" w14:textId="77777777" w:rsidR="00FA6A38" w:rsidRPr="00FA6A38" w:rsidRDefault="00FA6A38" w:rsidP="00343C9C">
            <w:pPr>
              <w:overflowPunct/>
              <w:autoSpaceDE/>
              <w:autoSpaceDN/>
              <w:adjustRightInd/>
              <w:jc w:val="center"/>
              <w:textAlignment w:val="auto"/>
              <w:rPr>
                <w:rFonts w:ascii="Arial" w:hAnsi="Arial" w:cs="Arial"/>
                <w:color w:val="1C3A54"/>
                <w:sz w:val="21"/>
                <w:szCs w:val="21"/>
              </w:rPr>
            </w:pPr>
          </w:p>
        </w:tc>
        <w:tc>
          <w:tcPr>
            <w:tcW w:w="810" w:type="pct"/>
            <w:tcBorders>
              <w:top w:val="nil"/>
              <w:left w:val="nil"/>
              <w:bottom w:val="single" w:sz="6" w:space="0" w:color="EEEEEE"/>
              <w:right w:val="single" w:sz="6" w:space="0" w:color="EEEEEE"/>
            </w:tcBorders>
            <w:tcMar>
              <w:top w:w="45" w:type="dxa"/>
              <w:left w:w="150" w:type="dxa"/>
              <w:bottom w:w="105" w:type="dxa"/>
              <w:right w:w="45" w:type="dxa"/>
            </w:tcMar>
            <w:vAlign w:val="center"/>
            <w:hideMark/>
          </w:tcPr>
          <w:p w14:paraId="75219A57" w14:textId="77777777" w:rsidR="00FA6A38" w:rsidRPr="00FA6A38" w:rsidRDefault="00FA6A38" w:rsidP="00343C9C">
            <w:pPr>
              <w:overflowPunct/>
              <w:autoSpaceDE/>
              <w:autoSpaceDN/>
              <w:adjustRightInd/>
              <w:jc w:val="center"/>
              <w:textAlignment w:val="auto"/>
              <w:rPr>
                <w:rFonts w:ascii="Arial" w:hAnsi="Arial" w:cs="Arial"/>
                <w:color w:val="1C3A54"/>
                <w:sz w:val="21"/>
                <w:szCs w:val="21"/>
              </w:rPr>
            </w:pPr>
            <w:r w:rsidRPr="00FA6A38">
              <w:rPr>
                <w:rFonts w:ascii="Arial" w:hAnsi="Arial" w:cs="Arial"/>
                <w:noProof/>
                <w:color w:val="1C3A54"/>
                <w:sz w:val="21"/>
                <w:szCs w:val="21"/>
              </w:rPr>
              <w:drawing>
                <wp:inline distT="0" distB="0" distL="0" distR="0" wp14:anchorId="7BE62652" wp14:editId="4759116F">
                  <wp:extent cx="228600" cy="190500"/>
                  <wp:effectExtent l="0" t="0" r="0" b="0"/>
                  <wp:docPr id="18" name="Picture 18" descr="http://media.zones.com/images/static/green-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media.zones.com/images/static/green-right.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1024" w:type="pct"/>
            <w:tcBorders>
              <w:top w:val="nil"/>
              <w:left w:val="nil"/>
              <w:bottom w:val="single" w:sz="6" w:space="0" w:color="EEEEEE"/>
              <w:right w:val="single" w:sz="6" w:space="0" w:color="EEEEEE"/>
            </w:tcBorders>
            <w:tcMar>
              <w:top w:w="45" w:type="dxa"/>
              <w:left w:w="150" w:type="dxa"/>
              <w:bottom w:w="105" w:type="dxa"/>
              <w:right w:w="45" w:type="dxa"/>
            </w:tcMar>
            <w:vAlign w:val="center"/>
            <w:hideMark/>
          </w:tcPr>
          <w:p w14:paraId="252AF12C" w14:textId="77777777" w:rsidR="00FA6A38" w:rsidRPr="00FA6A38" w:rsidRDefault="00FA6A38" w:rsidP="00343C9C">
            <w:pPr>
              <w:overflowPunct/>
              <w:autoSpaceDE/>
              <w:autoSpaceDN/>
              <w:adjustRightInd/>
              <w:jc w:val="center"/>
              <w:textAlignment w:val="auto"/>
              <w:rPr>
                <w:rFonts w:ascii="Arial" w:hAnsi="Arial" w:cs="Arial"/>
                <w:color w:val="1C3A54"/>
                <w:sz w:val="21"/>
                <w:szCs w:val="21"/>
              </w:rPr>
            </w:pPr>
            <w:r w:rsidRPr="00FA6A38">
              <w:rPr>
                <w:rFonts w:ascii="Arial" w:hAnsi="Arial" w:cs="Arial"/>
                <w:noProof/>
                <w:color w:val="1C3A54"/>
                <w:sz w:val="21"/>
                <w:szCs w:val="21"/>
              </w:rPr>
              <w:drawing>
                <wp:inline distT="0" distB="0" distL="0" distR="0" wp14:anchorId="3EFEB84D" wp14:editId="4CF127CE">
                  <wp:extent cx="228600" cy="190500"/>
                  <wp:effectExtent l="0" t="0" r="0" b="0"/>
                  <wp:docPr id="17" name="Picture 17" descr="http://media.zones.com/images/static/green-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media.zones.com/images/static/green-right.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r>
      <w:tr w:rsidR="00FA6A38" w:rsidRPr="00FA6A38" w14:paraId="7FF626E2" w14:textId="77777777" w:rsidTr="00343C9C">
        <w:tc>
          <w:tcPr>
            <w:tcW w:w="2438" w:type="pct"/>
            <w:tcBorders>
              <w:top w:val="nil"/>
              <w:left w:val="nil"/>
              <w:bottom w:val="single" w:sz="6" w:space="0" w:color="EEEEEE"/>
              <w:right w:val="single" w:sz="6" w:space="0" w:color="EEEEEE"/>
            </w:tcBorders>
            <w:tcMar>
              <w:top w:w="45" w:type="dxa"/>
              <w:left w:w="150" w:type="dxa"/>
              <w:bottom w:w="105" w:type="dxa"/>
              <w:right w:w="45" w:type="dxa"/>
            </w:tcMar>
            <w:vAlign w:val="center"/>
            <w:hideMark/>
          </w:tcPr>
          <w:p w14:paraId="7FE138CB" w14:textId="77777777" w:rsidR="00FA6A38" w:rsidRPr="00FA6A38" w:rsidRDefault="00FA6A38" w:rsidP="00FA6A38">
            <w:pPr>
              <w:overflowPunct/>
              <w:autoSpaceDE/>
              <w:autoSpaceDN/>
              <w:adjustRightInd/>
              <w:textAlignment w:val="auto"/>
              <w:rPr>
                <w:rFonts w:ascii="Arial" w:hAnsi="Arial" w:cs="Arial"/>
                <w:color w:val="1C3A54"/>
                <w:sz w:val="21"/>
                <w:szCs w:val="21"/>
              </w:rPr>
            </w:pPr>
            <w:r w:rsidRPr="00FA6A38">
              <w:rPr>
                <w:rFonts w:ascii="Arial" w:hAnsi="Arial" w:cs="Arial"/>
                <w:b/>
                <w:bCs/>
                <w:color w:val="1C3A54"/>
                <w:sz w:val="21"/>
                <w:szCs w:val="21"/>
                <w:bdr w:val="none" w:sz="0" w:space="0" w:color="auto" w:frame="1"/>
              </w:rPr>
              <w:t>Publishing &amp; databases:</w:t>
            </w:r>
          </w:p>
          <w:p w14:paraId="7E4CCBBD" w14:textId="0DBFEF87" w:rsidR="00FA6A38" w:rsidRPr="00FA6A38" w:rsidRDefault="005856EA" w:rsidP="00FA6A38">
            <w:pPr>
              <w:overflowPunct/>
              <w:autoSpaceDE/>
              <w:autoSpaceDN/>
              <w:adjustRightInd/>
              <w:spacing w:after="360" w:line="210" w:lineRule="atLeast"/>
              <w:rPr>
                <w:rFonts w:ascii="Arial" w:hAnsi="Arial" w:cs="Arial"/>
                <w:color w:val="1C3A54"/>
                <w:sz w:val="21"/>
                <w:szCs w:val="21"/>
              </w:rPr>
            </w:pPr>
            <w:r w:rsidRPr="00FA6A38">
              <w:rPr>
                <w:rFonts w:ascii="Arial" w:hAnsi="Arial" w:cs="Arial"/>
                <w:color w:val="1C3A54"/>
                <w:sz w:val="21"/>
                <w:szCs w:val="21"/>
              </w:rPr>
              <w:t>Publisher</w:t>
            </w:r>
            <w:r w:rsidR="00FA6A38" w:rsidRPr="00FA6A38">
              <w:rPr>
                <w:rFonts w:ascii="Arial" w:hAnsi="Arial" w:cs="Arial"/>
                <w:color w:val="1C3A54"/>
                <w:sz w:val="21"/>
                <w:szCs w:val="21"/>
              </w:rPr>
              <w:t xml:space="preserve">, </w:t>
            </w:r>
            <w:r w:rsidRPr="00FA6A38">
              <w:rPr>
                <w:rFonts w:ascii="Arial" w:hAnsi="Arial" w:cs="Arial"/>
                <w:color w:val="1C3A54"/>
                <w:sz w:val="21"/>
                <w:szCs w:val="21"/>
              </w:rPr>
              <w:t>Access</w:t>
            </w:r>
          </w:p>
        </w:tc>
        <w:tc>
          <w:tcPr>
            <w:tcW w:w="717" w:type="pct"/>
            <w:tcBorders>
              <w:top w:val="nil"/>
              <w:left w:val="nil"/>
              <w:bottom w:val="single" w:sz="6" w:space="0" w:color="EEEEEE"/>
              <w:right w:val="single" w:sz="6" w:space="0" w:color="EEEEEE"/>
            </w:tcBorders>
            <w:tcMar>
              <w:top w:w="45" w:type="dxa"/>
              <w:left w:w="150" w:type="dxa"/>
              <w:bottom w:w="105" w:type="dxa"/>
              <w:right w:w="45" w:type="dxa"/>
            </w:tcMar>
            <w:vAlign w:val="center"/>
            <w:hideMark/>
          </w:tcPr>
          <w:p w14:paraId="63310593" w14:textId="77777777" w:rsidR="00FA6A38" w:rsidRPr="00FA6A38" w:rsidRDefault="00FA6A38" w:rsidP="00343C9C">
            <w:pPr>
              <w:overflowPunct/>
              <w:autoSpaceDE/>
              <w:autoSpaceDN/>
              <w:adjustRightInd/>
              <w:jc w:val="center"/>
              <w:textAlignment w:val="auto"/>
              <w:rPr>
                <w:rFonts w:ascii="Arial" w:hAnsi="Arial" w:cs="Arial"/>
                <w:color w:val="1C3A54"/>
                <w:sz w:val="21"/>
                <w:szCs w:val="21"/>
              </w:rPr>
            </w:pPr>
          </w:p>
        </w:tc>
        <w:tc>
          <w:tcPr>
            <w:tcW w:w="810" w:type="pct"/>
            <w:tcBorders>
              <w:top w:val="nil"/>
              <w:left w:val="nil"/>
              <w:bottom w:val="single" w:sz="6" w:space="0" w:color="EEEEEE"/>
              <w:right w:val="single" w:sz="6" w:space="0" w:color="EEEEEE"/>
            </w:tcBorders>
            <w:tcMar>
              <w:top w:w="45" w:type="dxa"/>
              <w:left w:w="150" w:type="dxa"/>
              <w:bottom w:w="105" w:type="dxa"/>
              <w:right w:w="45" w:type="dxa"/>
            </w:tcMar>
            <w:vAlign w:val="center"/>
            <w:hideMark/>
          </w:tcPr>
          <w:p w14:paraId="6AAFB23D" w14:textId="77777777" w:rsidR="00FA6A38" w:rsidRPr="00FA6A38" w:rsidRDefault="00FA6A38" w:rsidP="00343C9C">
            <w:pPr>
              <w:overflowPunct/>
              <w:autoSpaceDE/>
              <w:autoSpaceDN/>
              <w:adjustRightInd/>
              <w:jc w:val="center"/>
              <w:textAlignment w:val="auto"/>
              <w:rPr>
                <w:rFonts w:ascii="Arial" w:hAnsi="Arial" w:cs="Arial"/>
                <w:color w:val="1C3A54"/>
                <w:sz w:val="21"/>
                <w:szCs w:val="21"/>
              </w:rPr>
            </w:pPr>
          </w:p>
        </w:tc>
        <w:tc>
          <w:tcPr>
            <w:tcW w:w="1024" w:type="pct"/>
            <w:vAlign w:val="center"/>
            <w:hideMark/>
          </w:tcPr>
          <w:p w14:paraId="7155C631" w14:textId="77777777" w:rsidR="00FA6A38" w:rsidRPr="00FA6A38" w:rsidRDefault="00FA6A38" w:rsidP="00343C9C">
            <w:pPr>
              <w:overflowPunct/>
              <w:autoSpaceDE/>
              <w:autoSpaceDN/>
              <w:adjustRightInd/>
              <w:jc w:val="center"/>
              <w:textAlignment w:val="auto"/>
              <w:rPr>
                <w:sz w:val="20"/>
              </w:rPr>
            </w:pPr>
            <w:r w:rsidRPr="00FA6A38">
              <w:rPr>
                <w:rFonts w:ascii="Arial" w:hAnsi="Arial" w:cs="Arial"/>
                <w:noProof/>
                <w:color w:val="1C3A54"/>
                <w:sz w:val="21"/>
                <w:szCs w:val="21"/>
              </w:rPr>
              <w:drawing>
                <wp:inline distT="0" distB="0" distL="0" distR="0" wp14:anchorId="5A90EEC3" wp14:editId="0524A262">
                  <wp:extent cx="228600" cy="190500"/>
                  <wp:effectExtent l="0" t="0" r="0" b="0"/>
                  <wp:docPr id="16" name="Picture 16" descr="http://media.zones.com/images/static/green-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media.zones.com/images/static/green-right.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11" w:type="pct"/>
            <w:vAlign w:val="center"/>
            <w:hideMark/>
          </w:tcPr>
          <w:p w14:paraId="02A1458F" w14:textId="77777777" w:rsidR="00FA6A38" w:rsidRPr="00FA6A38" w:rsidRDefault="00FA6A38" w:rsidP="00FA6A38">
            <w:pPr>
              <w:overflowPunct/>
              <w:autoSpaceDE/>
              <w:autoSpaceDN/>
              <w:adjustRightInd/>
              <w:textAlignment w:val="auto"/>
              <w:rPr>
                <w:sz w:val="20"/>
              </w:rPr>
            </w:pPr>
          </w:p>
        </w:tc>
      </w:tr>
    </w:tbl>
    <w:p w14:paraId="213EA531" w14:textId="77777777" w:rsidR="000F7674" w:rsidRDefault="000F7674" w:rsidP="006A7573"/>
    <w:p w14:paraId="60C578AB" w14:textId="77777777" w:rsidR="00484D0B" w:rsidRPr="00E51501" w:rsidRDefault="000F7674" w:rsidP="00343C9C">
      <w:pPr>
        <w:pStyle w:val="Heading2"/>
      </w:pPr>
      <w:bookmarkStart w:id="25" w:name="_Toc480255371"/>
      <w:bookmarkStart w:id="26" w:name="_Toc480348012"/>
      <w:bookmarkStart w:id="27" w:name="_Toc477173637"/>
      <w:r w:rsidRPr="00F22835">
        <w:t>2.3</w:t>
      </w:r>
      <w:r w:rsidRPr="00F22835">
        <w:tab/>
        <w:t>Hardware Requirements</w:t>
      </w:r>
      <w:bookmarkEnd w:id="25"/>
      <w:bookmarkEnd w:id="26"/>
      <w:bookmarkEnd w:id="27"/>
    </w:p>
    <w:p w14:paraId="12B32C57" w14:textId="77777777" w:rsidR="00484D0B" w:rsidRDefault="00484D0B" w:rsidP="006A7573"/>
    <w:p w14:paraId="7EB8AE83" w14:textId="477258B5" w:rsidR="000F7674" w:rsidRPr="000F7674" w:rsidRDefault="000F7674" w:rsidP="006A7573">
      <w:r w:rsidRPr="000F7674">
        <w:t xml:space="preserve">For Microsoft Office </w:t>
      </w:r>
      <w:r w:rsidR="006939BD" w:rsidRPr="000F7674">
        <w:t>20</w:t>
      </w:r>
      <w:r w:rsidR="006939BD">
        <w:t>13</w:t>
      </w:r>
      <w:r w:rsidR="006939BD" w:rsidRPr="000F7674">
        <w:t xml:space="preserve"> </w:t>
      </w:r>
      <w:r w:rsidRPr="000F7674">
        <w:t>to run properly</w:t>
      </w:r>
      <w:r w:rsidR="00464192">
        <w:t xml:space="preserve"> and to improve communications with the Commission</w:t>
      </w:r>
      <w:r w:rsidRPr="000F7674">
        <w:t xml:space="preserve"> be sure to take note of the following </w:t>
      </w:r>
      <w:r w:rsidR="00DD1520">
        <w:t xml:space="preserve">computer </w:t>
      </w:r>
      <w:r w:rsidRPr="000F7674">
        <w:t>system requirements</w:t>
      </w:r>
      <w:r w:rsidR="00701DFB">
        <w:t xml:space="preserve"> below. Any consumer electronics retail associate will be able to assist with finding a computer and hardware with the following specifications</w:t>
      </w:r>
      <w:r w:rsidRPr="000F7674">
        <w:t>:</w:t>
      </w:r>
      <w:bookmarkStart w:id="28" w:name="grid_0"/>
      <w:bookmarkEnd w:id="28"/>
    </w:p>
    <w:p w14:paraId="0E0BDE8A" w14:textId="77777777" w:rsidR="00DD1520" w:rsidRPr="000F7674" w:rsidRDefault="00DD1520" w:rsidP="006A7573"/>
    <w:tbl>
      <w:tblPr>
        <w:tblW w:w="4943"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0"/>
        <w:gridCol w:w="7093"/>
      </w:tblGrid>
      <w:tr w:rsidR="000F7674" w:rsidRPr="000F7674" w14:paraId="546AA6B4" w14:textId="77777777" w:rsidTr="00DD1520">
        <w:trPr>
          <w:trHeight w:val="420"/>
          <w:tblCellSpacing w:w="15" w:type="dxa"/>
        </w:trPr>
        <w:tc>
          <w:tcPr>
            <w:tcW w:w="1139" w:type="pct"/>
            <w:shd w:val="clear" w:color="auto" w:fill="F2A31B"/>
            <w:vAlign w:val="bottom"/>
            <w:hideMark/>
          </w:tcPr>
          <w:p w14:paraId="78650CDA" w14:textId="77777777" w:rsidR="000F7674" w:rsidRPr="000F7674" w:rsidRDefault="000F7674" w:rsidP="006A7573">
            <w:pPr>
              <w:rPr>
                <w:b/>
                <w:bCs/>
              </w:rPr>
            </w:pPr>
            <w:r w:rsidRPr="000F7674">
              <w:rPr>
                <w:b/>
                <w:bCs/>
              </w:rPr>
              <w:t>Computer Components</w:t>
            </w:r>
          </w:p>
        </w:tc>
        <w:tc>
          <w:tcPr>
            <w:tcW w:w="3813" w:type="pct"/>
            <w:shd w:val="clear" w:color="auto" w:fill="F2A31B"/>
            <w:vAlign w:val="bottom"/>
            <w:hideMark/>
          </w:tcPr>
          <w:p w14:paraId="57AAF44A" w14:textId="77777777" w:rsidR="000F7674" w:rsidRPr="000F7674" w:rsidRDefault="000F7674" w:rsidP="006A7573">
            <w:pPr>
              <w:rPr>
                <w:b/>
                <w:bCs/>
              </w:rPr>
            </w:pPr>
            <w:r w:rsidRPr="000F7674">
              <w:rPr>
                <w:b/>
                <w:bCs/>
              </w:rPr>
              <w:t>Requirement</w:t>
            </w:r>
          </w:p>
        </w:tc>
      </w:tr>
      <w:tr w:rsidR="000F7674" w:rsidRPr="000F7674" w14:paraId="37DC39D2" w14:textId="77777777" w:rsidTr="00DD1520">
        <w:trPr>
          <w:trHeight w:val="420"/>
          <w:tblCellSpacing w:w="15" w:type="dxa"/>
        </w:trPr>
        <w:tc>
          <w:tcPr>
            <w:tcW w:w="1139" w:type="pct"/>
            <w:hideMark/>
          </w:tcPr>
          <w:p w14:paraId="1A8A2FD8" w14:textId="77777777" w:rsidR="000F7674" w:rsidRPr="000F7674" w:rsidRDefault="000F7674" w:rsidP="006A7573">
            <w:r w:rsidRPr="000F7674">
              <w:t>Computer Processor</w:t>
            </w:r>
          </w:p>
        </w:tc>
        <w:tc>
          <w:tcPr>
            <w:tcW w:w="3813" w:type="pct"/>
            <w:vAlign w:val="bottom"/>
            <w:hideMark/>
          </w:tcPr>
          <w:p w14:paraId="425A2CE3" w14:textId="77777777" w:rsidR="006939BD" w:rsidRDefault="006939BD" w:rsidP="006A7573">
            <w:r w:rsidRPr="006939BD">
              <w:t>1 gigahertz (GHz) or faster x86-bit or x64-bit processor with SSE2</w:t>
            </w:r>
          </w:p>
          <w:p w14:paraId="6F98114A" w14:textId="77777777" w:rsidR="000F7674" w:rsidRPr="000F7674" w:rsidRDefault="000F7674" w:rsidP="006A7573"/>
        </w:tc>
      </w:tr>
      <w:tr w:rsidR="000F7674" w:rsidRPr="000F7674" w14:paraId="72D21D82" w14:textId="77777777" w:rsidTr="00DD1520">
        <w:trPr>
          <w:trHeight w:val="420"/>
          <w:tblCellSpacing w:w="15" w:type="dxa"/>
        </w:trPr>
        <w:tc>
          <w:tcPr>
            <w:tcW w:w="1139" w:type="pct"/>
            <w:hideMark/>
          </w:tcPr>
          <w:p w14:paraId="16A30389" w14:textId="77777777" w:rsidR="000F7674" w:rsidRPr="000F7674" w:rsidRDefault="000F7674" w:rsidP="006A7573">
            <w:r w:rsidRPr="000F7674">
              <w:t>Memory</w:t>
            </w:r>
          </w:p>
        </w:tc>
        <w:tc>
          <w:tcPr>
            <w:tcW w:w="3813" w:type="pct"/>
            <w:vAlign w:val="bottom"/>
            <w:hideMark/>
          </w:tcPr>
          <w:p w14:paraId="06CB54DF" w14:textId="08C20501" w:rsidR="000F7674" w:rsidRPr="000F7674" w:rsidRDefault="006939BD" w:rsidP="006A7573">
            <w:r w:rsidRPr="006939BD">
              <w:t>1 GB RAM (32-bit); 2 GB RAM (64-bit)</w:t>
            </w:r>
          </w:p>
          <w:p w14:paraId="4183A808" w14:textId="77777777" w:rsidR="000F7674" w:rsidRPr="000F7674" w:rsidRDefault="000F7674" w:rsidP="006A7573"/>
        </w:tc>
      </w:tr>
      <w:tr w:rsidR="000F7674" w:rsidRPr="000F7674" w14:paraId="2762CA62" w14:textId="77777777" w:rsidTr="00DD1520">
        <w:trPr>
          <w:trHeight w:val="214"/>
          <w:tblCellSpacing w:w="15" w:type="dxa"/>
        </w:trPr>
        <w:tc>
          <w:tcPr>
            <w:tcW w:w="1139" w:type="pct"/>
            <w:hideMark/>
          </w:tcPr>
          <w:p w14:paraId="01C305EE" w14:textId="77777777" w:rsidR="000F7674" w:rsidRPr="000F7674" w:rsidRDefault="000F7674" w:rsidP="006A7573">
            <w:r w:rsidRPr="000F7674">
              <w:t>Hard Disk</w:t>
            </w:r>
          </w:p>
        </w:tc>
        <w:tc>
          <w:tcPr>
            <w:tcW w:w="3813" w:type="pct"/>
            <w:vAlign w:val="bottom"/>
            <w:hideMark/>
          </w:tcPr>
          <w:p w14:paraId="43CD62ED" w14:textId="1646A466" w:rsidR="000F7674" w:rsidRDefault="006939BD" w:rsidP="006A7573">
            <w:r w:rsidRPr="006939BD">
              <w:t>3.0 GB available disk space</w:t>
            </w:r>
          </w:p>
          <w:p w14:paraId="395906B3" w14:textId="77777777" w:rsidR="006939BD" w:rsidRPr="000F7674" w:rsidRDefault="006939BD" w:rsidP="006A7573"/>
        </w:tc>
      </w:tr>
      <w:tr w:rsidR="000F7674" w:rsidRPr="000F7674" w14:paraId="769F3AC2" w14:textId="77777777" w:rsidTr="00DD1520">
        <w:trPr>
          <w:trHeight w:val="420"/>
          <w:tblCellSpacing w:w="15" w:type="dxa"/>
        </w:trPr>
        <w:tc>
          <w:tcPr>
            <w:tcW w:w="1139" w:type="pct"/>
            <w:hideMark/>
          </w:tcPr>
          <w:p w14:paraId="13FAE4C6" w14:textId="77777777" w:rsidR="000F7674" w:rsidRPr="000F7674" w:rsidRDefault="000F7674" w:rsidP="006A7573">
            <w:r w:rsidRPr="000F7674">
              <w:t>Drive</w:t>
            </w:r>
          </w:p>
        </w:tc>
        <w:tc>
          <w:tcPr>
            <w:tcW w:w="3813" w:type="pct"/>
            <w:vAlign w:val="bottom"/>
            <w:hideMark/>
          </w:tcPr>
          <w:p w14:paraId="1B274B3C" w14:textId="2F1D96E7" w:rsidR="000F7674" w:rsidRPr="000F7674" w:rsidRDefault="000F7674" w:rsidP="006A7573">
            <w:r w:rsidRPr="000F7674">
              <w:t>Read/Write CD-ROM</w:t>
            </w:r>
            <w:r w:rsidR="00F22835">
              <w:t>,</w:t>
            </w:r>
            <w:r w:rsidRPr="000F7674">
              <w:t xml:space="preserve"> DVD </w:t>
            </w:r>
            <w:r w:rsidR="00F22835">
              <w:t xml:space="preserve">or Flash </w:t>
            </w:r>
            <w:r w:rsidRPr="000F7674">
              <w:t>drive</w:t>
            </w:r>
          </w:p>
          <w:p w14:paraId="4D7E0554" w14:textId="77777777" w:rsidR="000F7674" w:rsidRPr="000F7674" w:rsidRDefault="000F7674" w:rsidP="006A7573"/>
        </w:tc>
      </w:tr>
      <w:tr w:rsidR="000F7674" w:rsidRPr="000F7674" w14:paraId="01C7124E" w14:textId="77777777" w:rsidTr="00DD1520">
        <w:trPr>
          <w:trHeight w:val="420"/>
          <w:tblCellSpacing w:w="15" w:type="dxa"/>
        </w:trPr>
        <w:tc>
          <w:tcPr>
            <w:tcW w:w="1139" w:type="pct"/>
            <w:hideMark/>
          </w:tcPr>
          <w:p w14:paraId="559E1D1C" w14:textId="77777777" w:rsidR="000F7674" w:rsidRPr="000F7674" w:rsidRDefault="000F7674" w:rsidP="006A7573">
            <w:r w:rsidRPr="000F7674">
              <w:t>Display</w:t>
            </w:r>
          </w:p>
        </w:tc>
        <w:tc>
          <w:tcPr>
            <w:tcW w:w="3813" w:type="pct"/>
            <w:vAlign w:val="bottom"/>
            <w:hideMark/>
          </w:tcPr>
          <w:p w14:paraId="2DCFA619" w14:textId="77777777" w:rsidR="000F7674" w:rsidRPr="000F7674" w:rsidRDefault="000F7674" w:rsidP="006A7573">
            <w:r w:rsidRPr="000F7674">
              <w:t>1024</w:t>
            </w:r>
            <w:r w:rsidR="00D20E46">
              <w:t xml:space="preserve"> </w:t>
            </w:r>
            <w:r w:rsidRPr="000F7674">
              <w:t>x</w:t>
            </w:r>
            <w:r w:rsidR="00D20E46">
              <w:t xml:space="preserve"> </w:t>
            </w:r>
            <w:r w:rsidRPr="000F7674">
              <w:t>768 or higher resolution monitor</w:t>
            </w:r>
          </w:p>
          <w:p w14:paraId="1223C847" w14:textId="77777777" w:rsidR="000F7674" w:rsidRPr="000F7674" w:rsidRDefault="000F7674" w:rsidP="006A7573"/>
        </w:tc>
      </w:tr>
      <w:tr w:rsidR="000F7674" w:rsidRPr="000F7674" w14:paraId="3FDA528E" w14:textId="77777777" w:rsidTr="00343C9C">
        <w:trPr>
          <w:trHeight w:val="420"/>
          <w:tblCellSpacing w:w="15" w:type="dxa"/>
        </w:trPr>
        <w:tc>
          <w:tcPr>
            <w:tcW w:w="1139" w:type="pct"/>
          </w:tcPr>
          <w:p w14:paraId="4D15EAE4" w14:textId="1D32D816" w:rsidR="000F7674" w:rsidRPr="000F7674" w:rsidRDefault="006939BD" w:rsidP="006A7573">
            <w:r w:rsidRPr="006939BD">
              <w:t>Graphics</w:t>
            </w:r>
          </w:p>
        </w:tc>
        <w:tc>
          <w:tcPr>
            <w:tcW w:w="3813" w:type="pct"/>
            <w:vAlign w:val="bottom"/>
          </w:tcPr>
          <w:p w14:paraId="5CE0FB47" w14:textId="77777777" w:rsidR="006939BD" w:rsidRDefault="006939BD" w:rsidP="006A7573">
            <w:pPr>
              <w:rPr>
                <w:bCs/>
              </w:rPr>
            </w:pPr>
            <w:r w:rsidRPr="006939BD">
              <w:rPr>
                <w:bCs/>
              </w:rPr>
              <w:t>Graphics hardware acceleration requires a DirectX 10 graphics card.</w:t>
            </w:r>
          </w:p>
          <w:p w14:paraId="3EA7A10D" w14:textId="77777777" w:rsidR="000F7674" w:rsidRPr="000F7674" w:rsidRDefault="000F7674" w:rsidP="006A7573"/>
        </w:tc>
      </w:tr>
      <w:tr w:rsidR="006939BD" w:rsidRPr="000F7674" w14:paraId="6D7349D7" w14:textId="77777777" w:rsidTr="00343C9C">
        <w:trPr>
          <w:trHeight w:val="420"/>
          <w:tblCellSpacing w:w="15" w:type="dxa"/>
        </w:trPr>
        <w:tc>
          <w:tcPr>
            <w:tcW w:w="1139" w:type="pct"/>
          </w:tcPr>
          <w:p w14:paraId="359DDB77" w14:textId="4298985D" w:rsidR="006939BD" w:rsidRPr="000F7674" w:rsidRDefault="006939BD" w:rsidP="006939BD">
            <w:r w:rsidRPr="000F7674">
              <w:t>Operating System</w:t>
            </w:r>
          </w:p>
        </w:tc>
        <w:tc>
          <w:tcPr>
            <w:tcW w:w="3813" w:type="pct"/>
            <w:vAlign w:val="bottom"/>
          </w:tcPr>
          <w:p w14:paraId="03F941D2" w14:textId="77777777" w:rsidR="006939BD" w:rsidRDefault="006939BD" w:rsidP="006939BD">
            <w:pPr>
              <w:rPr>
                <w:bCs/>
              </w:rPr>
            </w:pPr>
            <w:r w:rsidRPr="006939BD">
              <w:rPr>
                <w:bCs/>
              </w:rPr>
              <w:t>Wind</w:t>
            </w:r>
            <w:r>
              <w:rPr>
                <w:bCs/>
              </w:rPr>
              <w:t>ows 10 or Windows 8.1</w:t>
            </w:r>
          </w:p>
          <w:p w14:paraId="0C5EC3C0" w14:textId="40514449" w:rsidR="006939BD" w:rsidRPr="000F7674" w:rsidRDefault="006939BD" w:rsidP="006939BD">
            <w:pPr>
              <w:rPr>
                <w:bCs/>
              </w:rPr>
            </w:pPr>
            <w:r>
              <w:rPr>
                <w:bCs/>
              </w:rPr>
              <w:t>(</w:t>
            </w:r>
            <w:r w:rsidR="00D22C48">
              <w:rPr>
                <w:bCs/>
              </w:rPr>
              <w:t>Usually</w:t>
            </w:r>
            <w:r>
              <w:rPr>
                <w:bCs/>
              </w:rPr>
              <w:t xml:space="preserve"> new computers come preinstalled with an operating system.)</w:t>
            </w:r>
          </w:p>
          <w:p w14:paraId="48472C17" w14:textId="77777777" w:rsidR="006939BD" w:rsidRPr="006869AD" w:rsidRDefault="006939BD" w:rsidP="006939BD"/>
        </w:tc>
      </w:tr>
      <w:tr w:rsidR="006939BD" w:rsidRPr="000F7674" w14:paraId="4EBAF573" w14:textId="77777777" w:rsidTr="00DD1520">
        <w:trPr>
          <w:trHeight w:val="411"/>
          <w:tblCellSpacing w:w="15" w:type="dxa"/>
        </w:trPr>
        <w:tc>
          <w:tcPr>
            <w:tcW w:w="1139" w:type="pct"/>
          </w:tcPr>
          <w:p w14:paraId="10395E68" w14:textId="77777777" w:rsidR="006939BD" w:rsidRPr="000F7674" w:rsidRDefault="006939BD" w:rsidP="006939BD">
            <w:r>
              <w:t>Printer</w:t>
            </w:r>
          </w:p>
        </w:tc>
        <w:tc>
          <w:tcPr>
            <w:tcW w:w="3813" w:type="pct"/>
            <w:vAlign w:val="bottom"/>
          </w:tcPr>
          <w:p w14:paraId="03E777A7" w14:textId="77777777" w:rsidR="006939BD" w:rsidRDefault="006939BD" w:rsidP="006939BD">
            <w:r w:rsidRPr="00464192">
              <w:t>All-in-</w:t>
            </w:r>
            <w:r>
              <w:t>o</w:t>
            </w:r>
            <w:r w:rsidRPr="00464192">
              <w:t>ne</w:t>
            </w:r>
            <w:r>
              <w:t xml:space="preserve"> printer that comes with printing, scanning, and copy capabilities</w:t>
            </w:r>
            <w:r w:rsidRPr="00464192">
              <w:t>.</w:t>
            </w:r>
          </w:p>
          <w:p w14:paraId="61E5FA2A" w14:textId="77777777" w:rsidR="006939BD" w:rsidRPr="000F7674" w:rsidRDefault="006939BD" w:rsidP="006939BD">
            <w:pPr>
              <w:rPr>
                <w:bCs/>
              </w:rPr>
            </w:pPr>
          </w:p>
        </w:tc>
      </w:tr>
      <w:tr w:rsidR="006939BD" w:rsidRPr="000F7674" w14:paraId="563376DC" w14:textId="77777777" w:rsidTr="00DD1520">
        <w:trPr>
          <w:trHeight w:val="411"/>
          <w:tblCellSpacing w:w="15" w:type="dxa"/>
        </w:trPr>
        <w:tc>
          <w:tcPr>
            <w:tcW w:w="1139" w:type="pct"/>
          </w:tcPr>
          <w:p w14:paraId="75670E99" w14:textId="77777777" w:rsidR="006939BD" w:rsidRDefault="006939BD" w:rsidP="006939BD">
            <w:r>
              <w:t>USB Ports</w:t>
            </w:r>
          </w:p>
        </w:tc>
        <w:tc>
          <w:tcPr>
            <w:tcW w:w="3813" w:type="pct"/>
            <w:vAlign w:val="bottom"/>
          </w:tcPr>
          <w:p w14:paraId="0DA7EAE9" w14:textId="77777777" w:rsidR="006939BD" w:rsidRDefault="006939BD" w:rsidP="006939BD">
            <w:r w:rsidRPr="00464192">
              <w:t>Universal Serial Bus is a way of setting up communication between a computer and peripheral devices</w:t>
            </w:r>
            <w:r>
              <w:t xml:space="preserve"> (such as flash drives).</w:t>
            </w:r>
          </w:p>
          <w:p w14:paraId="7DEBB2B3" w14:textId="77777777" w:rsidR="006939BD" w:rsidRPr="00464192" w:rsidRDefault="006939BD" w:rsidP="006939BD"/>
        </w:tc>
      </w:tr>
      <w:tr w:rsidR="006939BD" w:rsidRPr="000F7674" w14:paraId="57D166E8" w14:textId="77777777" w:rsidTr="00DD1520">
        <w:trPr>
          <w:trHeight w:val="411"/>
          <w:tblCellSpacing w:w="15" w:type="dxa"/>
        </w:trPr>
        <w:tc>
          <w:tcPr>
            <w:tcW w:w="1139" w:type="pct"/>
          </w:tcPr>
          <w:p w14:paraId="0F63BD40" w14:textId="77777777" w:rsidR="006939BD" w:rsidRDefault="006939BD" w:rsidP="006939BD">
            <w:r w:rsidRPr="000F7674">
              <w:t>Other</w:t>
            </w:r>
          </w:p>
        </w:tc>
        <w:tc>
          <w:tcPr>
            <w:tcW w:w="3813" w:type="pct"/>
            <w:vAlign w:val="bottom"/>
          </w:tcPr>
          <w:p w14:paraId="0060063D" w14:textId="77777777" w:rsidR="006939BD" w:rsidRDefault="006939BD" w:rsidP="006939BD">
            <w:r w:rsidRPr="006939BD">
              <w:t>The current or immediately previous version of Internet Explorer; the current version of Microsoft Edge, Safari, Chrome, or Firefox.</w:t>
            </w:r>
            <w:r>
              <w:t xml:space="preserve"> </w:t>
            </w:r>
          </w:p>
          <w:p w14:paraId="7EDBF84C" w14:textId="77777777" w:rsidR="006939BD" w:rsidRPr="00464192" w:rsidRDefault="006939BD" w:rsidP="006939BD">
            <w:r w:rsidRPr="000F7674">
              <w:t>Internet functionality requires Internet access (fees may apply).</w:t>
            </w:r>
          </w:p>
        </w:tc>
      </w:tr>
    </w:tbl>
    <w:p w14:paraId="1765BEB5" w14:textId="00E958EA" w:rsidR="00484D0B" w:rsidRPr="00343C9C" w:rsidRDefault="00B01DED" w:rsidP="00343C9C">
      <w:pPr>
        <w:pStyle w:val="Heading2"/>
        <w:numPr>
          <w:ilvl w:val="0"/>
          <w:numId w:val="0"/>
        </w:numPr>
      </w:pPr>
      <w:bookmarkStart w:id="29" w:name="_Toc477173638"/>
      <w:r w:rsidRPr="00343C9C">
        <w:t>2.</w:t>
      </w:r>
      <w:r w:rsidR="0066677F" w:rsidRPr="00343C9C">
        <w:t>4</w:t>
      </w:r>
      <w:r w:rsidRPr="00343C9C">
        <w:tab/>
      </w:r>
      <w:r w:rsidR="00A100A9" w:rsidRPr="00343C9C">
        <w:t>Example Upgrade</w:t>
      </w:r>
      <w:bookmarkEnd w:id="29"/>
    </w:p>
    <w:p w14:paraId="3551D2DD" w14:textId="77777777" w:rsidR="00A100A9" w:rsidRDefault="00A100A9"/>
    <w:p w14:paraId="1F13291A" w14:textId="77777777" w:rsidR="00A100A9" w:rsidRDefault="00A100A9">
      <w:r>
        <w:t xml:space="preserve">Acme Water Company wants to use the GRCW but does not have a system capable of using Excel. After contacting the WUTC, Acme Water Company goes to a local retail outlet carrying computers and equipment where they purchase a computer meeting the requirements of the </w:t>
      </w:r>
      <w:r w:rsidRPr="00343C9C">
        <w:rPr>
          <w:b/>
        </w:rPr>
        <w:t>most advanced program</w:t>
      </w:r>
      <w:r>
        <w:t xml:space="preserve"> need</w:t>
      </w:r>
      <w:r w:rsidR="000F3ABE">
        <w:t>ed</w:t>
      </w:r>
      <w:r>
        <w:t>, justifiable programs (Microsoft Office and Accounting Software), and necessary peripherals (such as, if not included in computer purchase, Monitors, Mouse, Keyboard, and a Printer).</w:t>
      </w:r>
    </w:p>
    <w:p w14:paraId="3D1C827E" w14:textId="77777777" w:rsidR="000F3ABE" w:rsidRDefault="000F3ABE"/>
    <w:p w14:paraId="09C6F085" w14:textId="0E09707D" w:rsidR="000F3ABE" w:rsidRPr="00A100A9" w:rsidRDefault="000F3ABE">
      <w:pPr>
        <w:sectPr w:rsidR="000F3ABE" w:rsidRPr="00A100A9">
          <w:headerReference w:type="default" r:id="rId28"/>
          <w:footerReference w:type="default" r:id="rId29"/>
          <w:pgSz w:w="12240" w:h="15840" w:code="1"/>
          <w:pgMar w:top="1440" w:right="1440" w:bottom="1440" w:left="1440" w:header="720" w:footer="720" w:gutter="0"/>
          <w:pgNumType w:start="1" w:chapStyle="1"/>
          <w:cols w:space="720"/>
        </w:sectPr>
      </w:pPr>
      <w:r>
        <w:t xml:space="preserve">Acme Water Company includes the expense with their new General Rate Case and the </w:t>
      </w:r>
      <w:r w:rsidR="00944150">
        <w:t xml:space="preserve">cost of </w:t>
      </w:r>
      <w:r w:rsidR="00804DE3">
        <w:t>upgrading</w:t>
      </w:r>
      <w:r>
        <w:t xml:space="preserve"> is included in their water rates over the next three years.</w:t>
      </w:r>
    </w:p>
    <w:p w14:paraId="3005E281" w14:textId="77777777" w:rsidR="00484D0B" w:rsidRDefault="00484D0B" w:rsidP="006A7573"/>
    <w:p w14:paraId="6CCF2D93" w14:textId="77777777" w:rsidR="00484D0B" w:rsidRDefault="00484D0B" w:rsidP="006A7573"/>
    <w:p w14:paraId="631461E0" w14:textId="77777777" w:rsidR="00484D0B" w:rsidRDefault="00484D0B" w:rsidP="006A7573"/>
    <w:p w14:paraId="1FFBC9C9" w14:textId="77777777" w:rsidR="00484D0B" w:rsidRDefault="00484D0B" w:rsidP="006A7573"/>
    <w:p w14:paraId="1978DDB8" w14:textId="77777777" w:rsidR="00484D0B" w:rsidRDefault="00484D0B" w:rsidP="006A7573"/>
    <w:p w14:paraId="4CDE8A13" w14:textId="77777777" w:rsidR="00484D0B" w:rsidRDefault="00484D0B" w:rsidP="006A7573"/>
    <w:p w14:paraId="1063D784" w14:textId="77777777" w:rsidR="00484D0B" w:rsidRDefault="00484D0B" w:rsidP="006A7573"/>
    <w:p w14:paraId="614FA9E9" w14:textId="77777777" w:rsidR="00484D0B" w:rsidRDefault="00484D0B" w:rsidP="006A7573"/>
    <w:p w14:paraId="48362A02" w14:textId="77777777" w:rsidR="00484D0B" w:rsidRDefault="00484D0B" w:rsidP="006A7573"/>
    <w:p w14:paraId="60F66AD0" w14:textId="77777777" w:rsidR="00484D0B" w:rsidRDefault="00484D0B" w:rsidP="006A7573"/>
    <w:p w14:paraId="686C9077" w14:textId="77777777" w:rsidR="00484D0B" w:rsidRDefault="00484D0B" w:rsidP="006A7573"/>
    <w:p w14:paraId="27EF1C71" w14:textId="77777777" w:rsidR="00484D0B" w:rsidRDefault="00484D0B" w:rsidP="006A7573"/>
    <w:p w14:paraId="1B22F485" w14:textId="77777777" w:rsidR="00484D0B" w:rsidRDefault="00484D0B" w:rsidP="006A7573"/>
    <w:p w14:paraId="270B4126" w14:textId="77777777" w:rsidR="00484D0B" w:rsidRDefault="00484D0B" w:rsidP="006A7573"/>
    <w:p w14:paraId="75CF166F" w14:textId="77777777" w:rsidR="00484D0B" w:rsidRDefault="00484D0B" w:rsidP="006A7573"/>
    <w:p w14:paraId="249C930B" w14:textId="77777777" w:rsidR="00484D0B" w:rsidRDefault="00484D0B" w:rsidP="006A7573"/>
    <w:p w14:paraId="25C1C412" w14:textId="77777777" w:rsidR="00484D0B" w:rsidRDefault="00484D0B" w:rsidP="006A7573"/>
    <w:p w14:paraId="158BAD6D" w14:textId="77777777" w:rsidR="00484D0B" w:rsidRDefault="00484D0B" w:rsidP="006A7573"/>
    <w:p w14:paraId="2A88DBA2" w14:textId="77777777" w:rsidR="00484D0B" w:rsidRDefault="00484D0B" w:rsidP="006A7573"/>
    <w:p w14:paraId="5F5E8FB2" w14:textId="77777777" w:rsidR="00484D0B" w:rsidRDefault="00484D0B" w:rsidP="006A7573"/>
    <w:p w14:paraId="49BB8232" w14:textId="77777777" w:rsidR="00484D0B" w:rsidRDefault="00484D0B" w:rsidP="006A7573"/>
    <w:p w14:paraId="397E8C89" w14:textId="5700EB83" w:rsidR="00484D0B" w:rsidRDefault="004D0EE2" w:rsidP="006A7573">
      <w:pPr>
        <w:jc w:val="right"/>
        <w:rPr>
          <w:rFonts w:ascii="Arial" w:hAnsi="Arial"/>
          <w:b/>
          <w:sz w:val="28"/>
        </w:rPr>
      </w:pPr>
      <w:r>
        <w:rPr>
          <w:rFonts w:ascii="Arial" w:hAnsi="Arial"/>
          <w:b/>
          <w:sz w:val="28"/>
        </w:rPr>
        <w:t>3</w:t>
      </w:r>
      <w:r w:rsidR="00C44DBC">
        <w:rPr>
          <w:rFonts w:ascii="Arial" w:hAnsi="Arial"/>
          <w:b/>
          <w:sz w:val="28"/>
        </w:rPr>
        <w:t>.0</w:t>
      </w:r>
      <w:r w:rsidR="00C44DBC">
        <w:rPr>
          <w:rFonts w:ascii="Arial" w:hAnsi="Arial"/>
          <w:b/>
          <w:sz w:val="28"/>
        </w:rPr>
        <w:tab/>
        <w:t xml:space="preserve">USING </w:t>
      </w:r>
      <w:r w:rsidR="006A7573" w:rsidRPr="006A7573">
        <w:rPr>
          <w:rFonts w:ascii="Arial" w:hAnsi="Arial"/>
          <w:b/>
          <w:sz w:val="28"/>
        </w:rPr>
        <w:t xml:space="preserve">GRCW </w:t>
      </w:r>
      <w:r w:rsidR="00025B93">
        <w:rPr>
          <w:rFonts w:ascii="Arial" w:hAnsi="Arial"/>
          <w:b/>
          <w:sz w:val="28"/>
        </w:rPr>
        <w:t>WORKBOOK</w:t>
      </w:r>
    </w:p>
    <w:p w14:paraId="46E22B7A" w14:textId="77777777" w:rsidR="00484D0B" w:rsidRDefault="00484D0B" w:rsidP="006A7573">
      <w:pPr>
        <w:rPr>
          <w:rFonts w:ascii="Arial" w:hAnsi="Arial"/>
        </w:rPr>
      </w:pPr>
    </w:p>
    <w:p w14:paraId="6DAABAA3" w14:textId="77777777" w:rsidR="00484D0B" w:rsidRDefault="00484D0B" w:rsidP="006A7573">
      <w:pPr>
        <w:pStyle w:val="Header"/>
        <w:tabs>
          <w:tab w:val="clear" w:pos="4320"/>
          <w:tab w:val="clear" w:pos="8640"/>
        </w:tabs>
        <w:sectPr w:rsidR="00484D0B">
          <w:headerReference w:type="default" r:id="rId30"/>
          <w:footerReference w:type="default" r:id="rId31"/>
          <w:pgSz w:w="12240" w:h="15840"/>
          <w:pgMar w:top="1440" w:right="1440" w:bottom="1440" w:left="1440" w:header="720" w:footer="720" w:gutter="0"/>
          <w:pgNumType w:start="1" w:chapStyle="1"/>
          <w:cols w:space="720"/>
        </w:sectPr>
      </w:pPr>
    </w:p>
    <w:p w14:paraId="49C6FED1" w14:textId="5957EA8A" w:rsidR="00484D0B" w:rsidRDefault="00C44DBC" w:rsidP="006A7573">
      <w:pPr>
        <w:pStyle w:val="Heading1"/>
      </w:pPr>
      <w:bookmarkStart w:id="30" w:name="_Toc477173639"/>
      <w:r>
        <w:lastRenderedPageBreak/>
        <w:t xml:space="preserve">USING </w:t>
      </w:r>
      <w:r w:rsidR="006A7573" w:rsidRPr="006A7573">
        <w:t xml:space="preserve">GRCW </w:t>
      </w:r>
      <w:bookmarkEnd w:id="30"/>
      <w:r w:rsidR="00025B93">
        <w:t>WORKBOOK</w:t>
      </w:r>
    </w:p>
    <w:p w14:paraId="6349A7A1" w14:textId="77777777" w:rsidR="00484D0B" w:rsidRDefault="004D0EE2" w:rsidP="006A7573">
      <w:pPr>
        <w:pStyle w:val="Heading2"/>
      </w:pPr>
      <w:bookmarkStart w:id="31" w:name="_Toc477173640"/>
      <w:r>
        <w:t>3</w:t>
      </w:r>
      <w:r w:rsidR="00DA7422">
        <w:t>.1</w:t>
      </w:r>
      <w:r w:rsidR="00C44DBC">
        <w:tab/>
      </w:r>
      <w:r w:rsidR="00DA7422" w:rsidRPr="00DA7422">
        <w:t>Input Procedures</w:t>
      </w:r>
      <w:r w:rsidR="009A59F3">
        <w:t xml:space="preserve"> [Tab – Input]</w:t>
      </w:r>
      <w:bookmarkEnd w:id="31"/>
    </w:p>
    <w:p w14:paraId="1BB0B91C" w14:textId="77777777" w:rsidR="00DA7422" w:rsidRDefault="00DA7422" w:rsidP="00DA7422"/>
    <w:p w14:paraId="65BA370B" w14:textId="08B579DE" w:rsidR="00DA7422" w:rsidRDefault="00204C8E" w:rsidP="00DA7422">
      <w:r>
        <w:t xml:space="preserve">Below are </w:t>
      </w:r>
      <w:r w:rsidR="00DA7422" w:rsidRPr="00DA7422">
        <w:t xml:space="preserve">detailed series of instructions describing the procedures the user will need to follow to use the </w:t>
      </w:r>
      <w:r w:rsidR="00692584">
        <w:t>workbook</w:t>
      </w:r>
      <w:r w:rsidR="007A1A66" w:rsidRPr="00DA7422">
        <w:t>.</w:t>
      </w:r>
      <w:r w:rsidR="007A1A66">
        <w:t xml:space="preserve"> </w:t>
      </w:r>
      <w:r w:rsidR="00A92BD5">
        <w:t xml:space="preserve">The following procedures are </w:t>
      </w:r>
      <w:r w:rsidR="002B6246">
        <w:t>related to</w:t>
      </w:r>
      <w:r w:rsidR="00A92BD5">
        <w:t xml:space="preserve"> the “</w:t>
      </w:r>
      <w:r w:rsidR="00A92BD5" w:rsidRPr="00B900BF">
        <w:rPr>
          <w:i/>
        </w:rPr>
        <w:t>Input</w:t>
      </w:r>
      <w:r w:rsidR="00A92BD5">
        <w:t>” tab within the workbook</w:t>
      </w:r>
      <w:r w:rsidR="002921FD">
        <w:t xml:space="preserve">. </w:t>
      </w:r>
      <w:r w:rsidR="002B6246">
        <w:t xml:space="preserve">Within the GRCW, all input cells are in </w:t>
      </w:r>
      <w:r w:rsidR="002B6246" w:rsidRPr="00373AD6">
        <w:rPr>
          <w:b/>
          <w:highlight w:val="yellow"/>
        </w:rPr>
        <w:t>yellow</w:t>
      </w:r>
      <w:r w:rsidR="009A59F3" w:rsidRPr="00343C9C">
        <w:rPr>
          <w:b/>
        </w:rPr>
        <w:t xml:space="preserve"> (text or number entry)</w:t>
      </w:r>
      <w:r w:rsidR="002B6246">
        <w:t xml:space="preserve"> or </w:t>
      </w:r>
      <w:r w:rsidR="002B6246" w:rsidRPr="00373AD6">
        <w:rPr>
          <w:b/>
          <w:highlight w:val="green"/>
        </w:rPr>
        <w:t>green</w:t>
      </w:r>
      <w:r w:rsidR="009A59F3" w:rsidRPr="00343C9C">
        <w:rPr>
          <w:b/>
        </w:rPr>
        <w:t xml:space="preserve"> (drop down selection)</w:t>
      </w:r>
      <w:r w:rsidR="002B6246" w:rsidRPr="00343C9C">
        <w:rPr>
          <w:b/>
        </w:rPr>
        <w:t>,</w:t>
      </w:r>
      <w:r w:rsidR="002B6246">
        <w:t xml:space="preserve"> while output cells are </w:t>
      </w:r>
      <w:r w:rsidR="00692584">
        <w:t>purple</w:t>
      </w:r>
      <w:r w:rsidR="002B6246">
        <w:t xml:space="preserve"> and information cells are orange.</w:t>
      </w:r>
    </w:p>
    <w:p w14:paraId="27804B68" w14:textId="77777777" w:rsidR="00025B93" w:rsidRDefault="00025B93" w:rsidP="00DA7422"/>
    <w:p w14:paraId="33DE92F7" w14:textId="77777777" w:rsidR="00387A46" w:rsidRDefault="00387A46" w:rsidP="00DA7422">
      <w:r>
        <w:t xml:space="preserve">Please note that all </w:t>
      </w:r>
      <w:r w:rsidR="005B5CA5">
        <w:t>input values should match the company financial information for the test period.</w:t>
      </w:r>
    </w:p>
    <w:p w14:paraId="553BE285" w14:textId="77777777" w:rsidR="00C65026" w:rsidRDefault="00D20E46" w:rsidP="00DA7422">
      <w:pPr>
        <w:rPr>
          <w:b/>
          <w:u w:val="single"/>
        </w:rPr>
      </w:pPr>
      <w:r w:rsidRPr="00343C9C">
        <w:rPr>
          <w:b/>
          <w:u w:val="single"/>
        </w:rPr>
        <w:t xml:space="preserve">Entries will be 1) direct </w:t>
      </w:r>
      <w:r w:rsidR="004D1F29" w:rsidRPr="00343C9C">
        <w:rPr>
          <w:b/>
          <w:u w:val="single"/>
        </w:rPr>
        <w:t xml:space="preserve">text, 2) direct </w:t>
      </w:r>
      <w:r w:rsidRPr="00343C9C">
        <w:rPr>
          <w:b/>
          <w:u w:val="single"/>
        </w:rPr>
        <w:t>numbers</w:t>
      </w:r>
      <w:r w:rsidR="004D1F29" w:rsidRPr="00343C9C">
        <w:rPr>
          <w:b/>
          <w:u w:val="single"/>
        </w:rPr>
        <w:t>,</w:t>
      </w:r>
      <w:r w:rsidRPr="00343C9C">
        <w:rPr>
          <w:b/>
          <w:u w:val="single"/>
        </w:rPr>
        <w:t xml:space="preserve"> or </w:t>
      </w:r>
      <w:r w:rsidR="004D1F29" w:rsidRPr="00343C9C">
        <w:rPr>
          <w:b/>
          <w:u w:val="single"/>
        </w:rPr>
        <w:t>3</w:t>
      </w:r>
      <w:r w:rsidRPr="00343C9C">
        <w:rPr>
          <w:b/>
          <w:u w:val="single"/>
        </w:rPr>
        <w:t xml:space="preserve">) </w:t>
      </w:r>
      <w:r w:rsidR="009A59F3" w:rsidRPr="00343C9C">
        <w:rPr>
          <w:b/>
          <w:u w:val="single"/>
        </w:rPr>
        <w:t>d</w:t>
      </w:r>
      <w:r w:rsidRPr="00343C9C">
        <w:rPr>
          <w:b/>
          <w:u w:val="single"/>
        </w:rPr>
        <w:t xml:space="preserve">rop </w:t>
      </w:r>
      <w:r w:rsidR="009A59F3" w:rsidRPr="00343C9C">
        <w:rPr>
          <w:b/>
          <w:u w:val="single"/>
        </w:rPr>
        <w:t>d</w:t>
      </w:r>
      <w:r w:rsidRPr="00343C9C">
        <w:rPr>
          <w:b/>
          <w:u w:val="single"/>
        </w:rPr>
        <w:t>own menu selections.</w:t>
      </w:r>
      <w:r w:rsidR="00C65026">
        <w:rPr>
          <w:b/>
          <w:u w:val="single"/>
        </w:rPr>
        <w:t xml:space="preserve"> </w:t>
      </w:r>
    </w:p>
    <w:p w14:paraId="7CB8CBC5" w14:textId="756DFC3A" w:rsidR="00D20E46" w:rsidRPr="00343C9C" w:rsidRDefault="00C65026" w:rsidP="00DA7422">
      <w:pPr>
        <w:rPr>
          <w:b/>
          <w:u w:val="single"/>
        </w:rPr>
      </w:pPr>
      <w:r>
        <w:rPr>
          <w:b/>
          <w:u w:val="single"/>
        </w:rPr>
        <w:t>Input to yellow or green cells only.</w:t>
      </w:r>
    </w:p>
    <w:p w14:paraId="586E2DB1" w14:textId="77777777" w:rsidR="00484D0B" w:rsidRDefault="004D0EE2" w:rsidP="006A7573">
      <w:pPr>
        <w:pStyle w:val="Heading3"/>
      </w:pPr>
      <w:bookmarkStart w:id="32" w:name="_Toc477173641"/>
      <w:r>
        <w:t>3</w:t>
      </w:r>
      <w:r w:rsidR="003A5F05">
        <w:t>.1</w:t>
      </w:r>
      <w:r w:rsidR="00C44DBC">
        <w:t>.</w:t>
      </w:r>
      <w:r w:rsidR="003A5F05">
        <w:t>1</w:t>
      </w:r>
      <w:r w:rsidR="00C44DBC">
        <w:tab/>
      </w:r>
      <w:r w:rsidR="004F66BC">
        <w:t>Information</w:t>
      </w:r>
      <w:r w:rsidR="00D20E46" w:rsidRPr="00343C9C">
        <w:rPr>
          <w:b w:val="0"/>
        </w:rPr>
        <w:t xml:space="preserve"> – Section 1</w:t>
      </w:r>
      <w:bookmarkEnd w:id="32"/>
    </w:p>
    <w:p w14:paraId="15DBB326" w14:textId="77777777" w:rsidR="00484D0B" w:rsidRPr="007D578D" w:rsidRDefault="00484D0B" w:rsidP="006A7573"/>
    <w:p w14:paraId="28747619" w14:textId="13FDE12B" w:rsidR="00484D0B" w:rsidRDefault="00FD066C" w:rsidP="006A7573">
      <w:r>
        <w:t>In</w:t>
      </w:r>
      <w:r w:rsidR="007D578D" w:rsidRPr="007D578D">
        <w:t xml:space="preserve"> column (b) </w:t>
      </w:r>
      <w:r w:rsidR="007D578D" w:rsidRPr="00B900BF">
        <w:rPr>
          <w:i/>
        </w:rPr>
        <w:t>Company Information</w:t>
      </w:r>
      <w:r w:rsidR="007D578D" w:rsidRPr="007D578D">
        <w:t xml:space="preserve">, </w:t>
      </w:r>
      <w:r w:rsidR="00A92BD5">
        <w:t>e</w:t>
      </w:r>
      <w:r w:rsidR="007D578D" w:rsidRPr="007D578D">
        <w:t>nter requested information in the cells</w:t>
      </w:r>
      <w:r w:rsidR="005101E4">
        <w:t>, such as, full legal name; test period</w:t>
      </w:r>
      <w:r w:rsidR="00692584">
        <w:t xml:space="preserve"> ending</w:t>
      </w:r>
      <w:r w:rsidR="005101E4">
        <w:t xml:space="preserve">; billing cycle; </w:t>
      </w:r>
      <w:r w:rsidR="00FC0D08">
        <w:t xml:space="preserve"> most common</w:t>
      </w:r>
      <w:r w:rsidR="00E55C4F">
        <w:t xml:space="preserve"> meter size; </w:t>
      </w:r>
      <w:r w:rsidR="005101E4">
        <w:t xml:space="preserve">customer count broken-down by </w:t>
      </w:r>
      <w:r w:rsidR="00A1244B">
        <w:t xml:space="preserve">unmetered, </w:t>
      </w:r>
      <w:r w:rsidR="007D578D" w:rsidRPr="007D578D">
        <w:t>ready to serve</w:t>
      </w:r>
      <w:r w:rsidR="005101E4">
        <w:t xml:space="preserve"> (RTS)</w:t>
      </w:r>
      <w:r w:rsidR="007D578D" w:rsidRPr="007D578D">
        <w:t xml:space="preserve">, </w:t>
      </w:r>
      <w:r w:rsidR="005101E4">
        <w:t>and metered; and current monthly rate design</w:t>
      </w:r>
      <w:r w:rsidR="00387A46">
        <w:t xml:space="preserve"> (</w:t>
      </w:r>
      <w:r w:rsidR="00387A46" w:rsidRPr="007A4C79">
        <w:rPr>
          <w:b/>
        </w:rPr>
        <w:t xml:space="preserve">use only whole </w:t>
      </w:r>
      <w:r w:rsidR="00C65026" w:rsidRPr="007A4C79">
        <w:rPr>
          <w:b/>
        </w:rPr>
        <w:t xml:space="preserve">single </w:t>
      </w:r>
      <w:r w:rsidR="00387A46" w:rsidRPr="007A4C79">
        <w:rPr>
          <w:b/>
        </w:rPr>
        <w:t>numbers</w:t>
      </w:r>
      <w:r w:rsidR="00804DE3" w:rsidRPr="007A4C79">
        <w:rPr>
          <w:b/>
        </w:rPr>
        <w:t>,</w:t>
      </w:r>
      <w:r w:rsidR="00387A46" w:rsidRPr="007A4C79">
        <w:rPr>
          <w:b/>
        </w:rPr>
        <w:t xml:space="preserve"> not a range</w:t>
      </w:r>
      <w:r w:rsidR="00387A46">
        <w:t>)</w:t>
      </w:r>
      <w:r w:rsidR="003A0439">
        <w:t>.</w:t>
      </w:r>
      <w:r w:rsidR="007A4C79">
        <w:t xml:space="preserve"> Note: </w:t>
      </w:r>
      <w:r w:rsidR="007A4C79" w:rsidRPr="007A4C79">
        <w:rPr>
          <w:b/>
          <w:u w:val="single"/>
        </w:rPr>
        <w:t>Use monthly numbers only, even if billing is bi-monthly</w:t>
      </w:r>
      <w:r w:rsidR="007A4C79">
        <w:t>.</w:t>
      </w:r>
    </w:p>
    <w:p w14:paraId="16E366E4" w14:textId="77777777" w:rsidR="00E55C4F" w:rsidRDefault="004D0EE2" w:rsidP="00E55C4F">
      <w:pPr>
        <w:pStyle w:val="Heading3"/>
      </w:pPr>
      <w:bookmarkStart w:id="33" w:name="_Toc477173642"/>
      <w:r>
        <w:t>3</w:t>
      </w:r>
      <w:r w:rsidR="00E55C4F">
        <w:t>.1.2</w:t>
      </w:r>
      <w:r w:rsidR="00E55C4F">
        <w:tab/>
        <w:t>Balance Sheet</w:t>
      </w:r>
      <w:r w:rsidR="00D20E46">
        <w:t xml:space="preserve"> </w:t>
      </w:r>
      <w:r w:rsidR="00D20E46" w:rsidRPr="00B00B0D">
        <w:rPr>
          <w:b w:val="0"/>
        </w:rPr>
        <w:t xml:space="preserve">– Section </w:t>
      </w:r>
      <w:r w:rsidR="006C3E94">
        <w:rPr>
          <w:b w:val="0"/>
        </w:rPr>
        <w:t>2</w:t>
      </w:r>
      <w:bookmarkEnd w:id="33"/>
    </w:p>
    <w:p w14:paraId="2CEEE915" w14:textId="77777777" w:rsidR="00E55C4F" w:rsidRPr="007D578D" w:rsidRDefault="00E55C4F" w:rsidP="00E55C4F"/>
    <w:p w14:paraId="03374ED0" w14:textId="3BE79A41" w:rsidR="00025B93" w:rsidRDefault="00704A5A" w:rsidP="00025B93">
      <w:r>
        <w:t>Starting with column (d</w:t>
      </w:r>
      <w:r w:rsidR="00E55C4F" w:rsidRPr="00704A5A">
        <w:t xml:space="preserve">) </w:t>
      </w:r>
      <w:r>
        <w:rPr>
          <w:i/>
        </w:rPr>
        <w:t>Asset Values</w:t>
      </w:r>
      <w:r w:rsidR="001A3FAE">
        <w:t xml:space="preserve"> and</w:t>
      </w:r>
      <w:r w:rsidR="00025B93">
        <w:t xml:space="preserve"> </w:t>
      </w:r>
      <w:r w:rsidR="00D22C48">
        <w:t>from</w:t>
      </w:r>
      <w:r w:rsidR="00025B93">
        <w:t xml:space="preserve"> the company’s balance sheet, enter the end-of-test-period total company</w:t>
      </w:r>
      <w:r w:rsidR="00FD066C">
        <w:t xml:space="preserve"> current</w:t>
      </w:r>
      <w:r w:rsidR="00025B93">
        <w:t xml:space="preserve"> assets, </w:t>
      </w:r>
      <w:r w:rsidR="00FD066C">
        <w:t>and Utility Plant and related A</w:t>
      </w:r>
      <w:r w:rsidR="00025B93">
        <w:t xml:space="preserve">ccumulated </w:t>
      </w:r>
      <w:r w:rsidR="00FD066C">
        <w:t>D</w:t>
      </w:r>
      <w:r w:rsidR="00025B93">
        <w:t>epreciation</w:t>
      </w:r>
      <w:r w:rsidR="00FD066C">
        <w:t>. Accumulated Depreciation may be entered as positive or negative numbers.</w:t>
      </w:r>
    </w:p>
    <w:p w14:paraId="503FE2D1" w14:textId="77777777" w:rsidR="005A7231" w:rsidRDefault="005A7231" w:rsidP="00E55C4F"/>
    <w:p w14:paraId="54149118" w14:textId="1D795D9A" w:rsidR="00FD066C" w:rsidRDefault="00D22C48" w:rsidP="00E55C4F">
      <w:r>
        <w:t>Column</w:t>
      </w:r>
      <w:r w:rsidR="00025B93">
        <w:t xml:space="preserve"> (f</w:t>
      </w:r>
      <w:r w:rsidR="00025B93" w:rsidRPr="00704A5A">
        <w:t xml:space="preserve">) </w:t>
      </w:r>
      <w:r w:rsidR="00025B93">
        <w:rPr>
          <w:i/>
        </w:rPr>
        <w:t>Liability Values/Equity Values</w:t>
      </w:r>
      <w:r w:rsidR="00025B93">
        <w:t>,</w:t>
      </w:r>
      <w:r w:rsidR="00025B93" w:rsidRPr="00704A5A">
        <w:t xml:space="preserve"> ent</w:t>
      </w:r>
      <w:r w:rsidR="00FD066C">
        <w:t>er the requested Liability and CIAC information in the cells, including the Accumulated Amortization. Accumulated Amortization may be entered as positive or negative numbers.</w:t>
      </w:r>
    </w:p>
    <w:p w14:paraId="423D8E00" w14:textId="77777777" w:rsidR="00FD066C" w:rsidRDefault="00FD066C" w:rsidP="00E55C4F"/>
    <w:p w14:paraId="2DECC43D" w14:textId="25629F1D" w:rsidR="005A7231" w:rsidRDefault="00FD066C" w:rsidP="00E55C4F">
      <w:r>
        <w:t>Continue down the Column (f) to complete the company equity section</w:t>
      </w:r>
      <w:r w:rsidR="005A7231" w:rsidRPr="008B6D82">
        <w:t>.</w:t>
      </w:r>
    </w:p>
    <w:p w14:paraId="6F313538" w14:textId="77777777" w:rsidR="00704A5A" w:rsidRDefault="00704A5A" w:rsidP="00E55C4F"/>
    <w:p w14:paraId="4C6E7935" w14:textId="77777777" w:rsidR="00025B93" w:rsidRDefault="00025B93" w:rsidP="00025B93">
      <w:r>
        <w:t xml:space="preserve">To enter multiple items in one cell, use the </w:t>
      </w:r>
      <w:r w:rsidRPr="00373AD6">
        <w:rPr>
          <w:u w:val="single"/>
        </w:rPr>
        <w:t>Inputs – Calculations</w:t>
      </w:r>
      <w:r>
        <w:t xml:space="preserve"> tab to enter detailed information and link totals to the Input tab.</w:t>
      </w:r>
    </w:p>
    <w:p w14:paraId="452CBF92" w14:textId="77777777" w:rsidR="00025B93" w:rsidRDefault="00025B93" w:rsidP="00E55C4F"/>
    <w:p w14:paraId="4DD3961C" w14:textId="7859D705" w:rsidR="00704A5A" w:rsidRDefault="00704A5A" w:rsidP="00E55C4F">
      <w:r>
        <w:t>Assets, liabilities, and equity totals will automatically add the appropriate entries. Verify the amounts are correct with the company’s records</w:t>
      </w:r>
      <w:r w:rsidR="002921FD">
        <w:t xml:space="preserve">. </w:t>
      </w:r>
      <w:r>
        <w:t>In addition, the workbook will indicate whether the balance sheet, actually balances (Assets = Liabilities + Equity)</w:t>
      </w:r>
      <w:r w:rsidR="009A59F3">
        <w:t xml:space="preserve"> </w:t>
      </w:r>
      <w:r w:rsidR="00D354D4">
        <w:t>(see</w:t>
      </w:r>
      <w:r w:rsidR="009A59F3">
        <w:t xml:space="preserve"> bottom line of section 2</w:t>
      </w:r>
      <w:r w:rsidR="00D354D4">
        <w:t>)</w:t>
      </w:r>
      <w:r>
        <w:t>.</w:t>
      </w:r>
    </w:p>
    <w:p w14:paraId="4932983F" w14:textId="77777777" w:rsidR="003A5F05" w:rsidRPr="003A5F05" w:rsidRDefault="004D0EE2" w:rsidP="00E0304A">
      <w:pPr>
        <w:pStyle w:val="Heading3"/>
      </w:pPr>
      <w:bookmarkStart w:id="34" w:name="_Toc477173643"/>
      <w:r>
        <w:t>3</w:t>
      </w:r>
      <w:r w:rsidR="003A5F05" w:rsidRPr="003A5F05">
        <w:t>.1.</w:t>
      </w:r>
      <w:r w:rsidR="00E55C4F">
        <w:t>3</w:t>
      </w:r>
      <w:r w:rsidR="003A5F05" w:rsidRPr="003A5F05">
        <w:tab/>
      </w:r>
      <w:r w:rsidR="004F66BC">
        <w:t>Income Statement</w:t>
      </w:r>
      <w:r w:rsidR="00D20E46">
        <w:t xml:space="preserve"> </w:t>
      </w:r>
      <w:r w:rsidR="00D20E46" w:rsidRPr="00B00B0D">
        <w:rPr>
          <w:b w:val="0"/>
        </w:rPr>
        <w:t xml:space="preserve">– Section </w:t>
      </w:r>
      <w:r w:rsidR="009A59F3">
        <w:rPr>
          <w:b w:val="0"/>
        </w:rPr>
        <w:t>3</w:t>
      </w:r>
      <w:bookmarkEnd w:id="34"/>
    </w:p>
    <w:p w14:paraId="687A34BF" w14:textId="0070E90B" w:rsidR="00BE392F" w:rsidRDefault="001A3FAE" w:rsidP="00AD3245">
      <w:r>
        <w:t>Starting with column (h</w:t>
      </w:r>
      <w:r w:rsidR="00AD3245">
        <w:t xml:space="preserve">) </w:t>
      </w:r>
      <w:r w:rsidR="00AD3245" w:rsidRPr="0003342F">
        <w:rPr>
          <w:i/>
        </w:rPr>
        <w:t>Company End</w:t>
      </w:r>
      <w:r w:rsidR="00BE392F">
        <w:rPr>
          <w:i/>
        </w:rPr>
        <w:t xml:space="preserve"> </w:t>
      </w:r>
      <w:r w:rsidR="00AD3245" w:rsidRPr="0003342F">
        <w:rPr>
          <w:i/>
        </w:rPr>
        <w:t>of</w:t>
      </w:r>
      <w:r w:rsidR="00BE392F">
        <w:rPr>
          <w:i/>
        </w:rPr>
        <w:t xml:space="preserve"> </w:t>
      </w:r>
      <w:r w:rsidR="00AD3245" w:rsidRPr="0003342F">
        <w:rPr>
          <w:i/>
        </w:rPr>
        <w:t>Year</w:t>
      </w:r>
      <w:r w:rsidR="00AD3245">
        <w:t xml:space="preserve">, </w:t>
      </w:r>
      <w:r w:rsidR="00A92BD5">
        <w:t>e</w:t>
      </w:r>
      <w:r w:rsidR="00AD3245">
        <w:t>nter</w:t>
      </w:r>
      <w:r w:rsidR="00D354D4">
        <w:t xml:space="preserve"> the</w:t>
      </w:r>
      <w:r w:rsidR="00AD3245">
        <w:t xml:space="preserve"> requested information in the </w:t>
      </w:r>
      <w:r w:rsidR="00BE392F">
        <w:t xml:space="preserve">related </w:t>
      </w:r>
      <w:r w:rsidR="00AD3245">
        <w:t xml:space="preserve">cells. </w:t>
      </w:r>
      <w:r w:rsidR="00BE392F">
        <w:t xml:space="preserve">To enter multiple items in one cell, use the </w:t>
      </w:r>
      <w:r w:rsidR="00BE392F" w:rsidRPr="00373AD6">
        <w:rPr>
          <w:u w:val="single"/>
        </w:rPr>
        <w:t>Inputs –</w:t>
      </w:r>
      <w:r w:rsidR="002C66A7" w:rsidRPr="00373AD6">
        <w:rPr>
          <w:u w:val="single"/>
        </w:rPr>
        <w:t xml:space="preserve"> Calculations</w:t>
      </w:r>
      <w:r w:rsidR="002C66A7">
        <w:t xml:space="preserve"> tab</w:t>
      </w:r>
      <w:r w:rsidR="00BE392F">
        <w:t xml:space="preserve"> to enter detailed information and link totals to the Input tab.</w:t>
      </w:r>
    </w:p>
    <w:p w14:paraId="7DE6B774" w14:textId="77777777" w:rsidR="00A92BD5" w:rsidRDefault="00A92BD5" w:rsidP="00AD3245"/>
    <w:p w14:paraId="1718CC30" w14:textId="77777777" w:rsidR="00AD3245" w:rsidRDefault="00AD3245" w:rsidP="00AD3245">
      <w:r>
        <w:t>Income and expense totals will automatically add the appropriate entries. Verify the amounts are correct with the company</w:t>
      </w:r>
      <w:r w:rsidR="005101E4">
        <w:t>’s</w:t>
      </w:r>
      <w:r>
        <w:t xml:space="preserve"> records</w:t>
      </w:r>
      <w:r w:rsidR="002921FD">
        <w:t xml:space="preserve">. </w:t>
      </w:r>
      <w:r w:rsidR="005101E4">
        <w:t>Then, e</w:t>
      </w:r>
      <w:r>
        <w:t>nter total i</w:t>
      </w:r>
      <w:r w:rsidR="007F30DF">
        <w:t>nterest paid and total Federal Income T</w:t>
      </w:r>
      <w:r>
        <w:t>ax</w:t>
      </w:r>
      <w:r w:rsidR="005101E4">
        <w:t xml:space="preserve"> (FIT) </w:t>
      </w:r>
      <w:r>
        <w:t>paid for the year</w:t>
      </w:r>
      <w:r w:rsidR="008E382C">
        <w:t>, t</w:t>
      </w:r>
      <w:r w:rsidR="005101E4">
        <w:t xml:space="preserve">his will </w:t>
      </w:r>
      <w:r w:rsidR="008E382C">
        <w:t>automatically calculate n</w:t>
      </w:r>
      <w:r>
        <w:t>et income and operating incomes.</w:t>
      </w:r>
    </w:p>
    <w:p w14:paraId="2D5E0868" w14:textId="77777777" w:rsidR="00AD3245" w:rsidRDefault="00AD3245" w:rsidP="00AD3245"/>
    <w:p w14:paraId="0B7555C0" w14:textId="09949E58" w:rsidR="00AD3245" w:rsidRDefault="001A3FAE" w:rsidP="00AD3245">
      <w:r>
        <w:lastRenderedPageBreak/>
        <w:t>Under column (i</w:t>
      </w:r>
      <w:r w:rsidR="00AD3245">
        <w:t xml:space="preserve">) </w:t>
      </w:r>
      <w:r w:rsidR="00AD3245" w:rsidRPr="0003342F">
        <w:rPr>
          <w:i/>
        </w:rPr>
        <w:t>Restat</w:t>
      </w:r>
      <w:r w:rsidR="00AD3245">
        <w:rPr>
          <w:i/>
        </w:rPr>
        <w:t>ing</w:t>
      </w:r>
      <w:r w:rsidR="00AD3245" w:rsidRPr="0003342F">
        <w:rPr>
          <w:i/>
        </w:rPr>
        <w:t xml:space="preserve"> Adjustments</w:t>
      </w:r>
      <w:r w:rsidR="00B900BF">
        <w:t xml:space="preserve">, </w:t>
      </w:r>
      <w:r w:rsidR="00AD3245">
        <w:t>enter any restating adjustments done</w:t>
      </w:r>
      <w:r w:rsidR="005165E6">
        <w:t>,</w:t>
      </w:r>
      <w:r w:rsidR="00AD3245">
        <w:t xml:space="preserve"> </w:t>
      </w:r>
      <w:r w:rsidR="00D354D4">
        <w:t>to</w:t>
      </w:r>
      <w:r w:rsidR="00AD3245">
        <w:t xml:space="preserve"> the company end of year records to reflect regulatory accounting</w:t>
      </w:r>
      <w:r w:rsidR="008E382C">
        <w:t xml:space="preserve"> </w:t>
      </w:r>
      <w:r w:rsidR="00D354D4">
        <w:t>and have</w:t>
      </w:r>
      <w:r w:rsidR="008E382C">
        <w:t xml:space="preserve"> the test period reflect a “normal” year of operating expenses</w:t>
      </w:r>
      <w:r w:rsidR="00AD3245">
        <w:t>.</w:t>
      </w:r>
      <w:r w:rsidR="0016053A">
        <w:t xml:space="preserve"> In example, remove </w:t>
      </w:r>
      <w:r w:rsidR="008E382C">
        <w:t xml:space="preserve">large repair projects </w:t>
      </w:r>
      <w:r w:rsidR="003A45D8">
        <w:t>from expenses</w:t>
      </w:r>
      <w:r w:rsidR="002C66A7">
        <w:t>,</w:t>
      </w:r>
      <w:r w:rsidR="003A45D8">
        <w:t xml:space="preserve"> </w:t>
      </w:r>
      <w:r w:rsidR="00211DD3">
        <w:t>add</w:t>
      </w:r>
      <w:r w:rsidR="0016053A">
        <w:t xml:space="preserve"> them</w:t>
      </w:r>
      <w:r w:rsidR="00211DD3">
        <w:t xml:space="preserve"> to utility plant</w:t>
      </w:r>
      <w:r w:rsidR="0016053A">
        <w:t xml:space="preserve"> (capitalizing)</w:t>
      </w:r>
      <w:r w:rsidR="00211DD3">
        <w:t xml:space="preserve"> </w:t>
      </w:r>
      <w:r w:rsidR="00211DD3" w:rsidRPr="00343C9C">
        <w:t>and depreciat</w:t>
      </w:r>
      <w:r w:rsidR="003A45D8" w:rsidRPr="00343C9C">
        <w:t>e</w:t>
      </w:r>
      <w:r w:rsidR="0016053A" w:rsidRPr="00343C9C">
        <w:t xml:space="preserve"> them over the </w:t>
      </w:r>
      <w:r w:rsidR="00226C46">
        <w:t xml:space="preserve">useful </w:t>
      </w:r>
      <w:r w:rsidR="0016053A" w:rsidRPr="00343C9C">
        <w:t>life of the repaired asset</w:t>
      </w:r>
      <w:r w:rsidR="008E382C" w:rsidRPr="00343C9C">
        <w:t>.</w:t>
      </w:r>
    </w:p>
    <w:p w14:paraId="2F6763AB" w14:textId="77777777" w:rsidR="00AD3245" w:rsidRDefault="00AD3245" w:rsidP="00AD3245"/>
    <w:p w14:paraId="2C676473" w14:textId="1C66FE1C" w:rsidR="003A5F05" w:rsidRPr="007D578D" w:rsidRDefault="001A3FAE" w:rsidP="00AD3245">
      <w:r>
        <w:t>Under column (j</w:t>
      </w:r>
      <w:r w:rsidR="00AD3245">
        <w:t xml:space="preserve">) </w:t>
      </w:r>
      <w:r w:rsidR="00AD3245" w:rsidRPr="00F74238">
        <w:rPr>
          <w:i/>
        </w:rPr>
        <w:t xml:space="preserve">Proforma </w:t>
      </w:r>
      <w:r w:rsidR="00AD3245" w:rsidRPr="0003342F">
        <w:rPr>
          <w:i/>
        </w:rPr>
        <w:t>Adjustments</w:t>
      </w:r>
      <w:r w:rsidR="00B900BF">
        <w:t xml:space="preserve">, </w:t>
      </w:r>
      <w:r w:rsidR="00AD3245">
        <w:t>enter any proforma adjustments done</w:t>
      </w:r>
      <w:r w:rsidR="002D6CD2">
        <w:t xml:space="preserve"> </w:t>
      </w:r>
      <w:r w:rsidR="00025B93">
        <w:t>after</w:t>
      </w:r>
      <w:r w:rsidR="00AD3245">
        <w:t xml:space="preserve"> the company end of </w:t>
      </w:r>
      <w:r w:rsidR="00025B93">
        <w:t xml:space="preserve">test </w:t>
      </w:r>
      <w:r w:rsidR="00AD3245">
        <w:t>year records to reflect regulatory accounting</w:t>
      </w:r>
      <w:r w:rsidR="008E382C">
        <w:t xml:space="preserve"> or </w:t>
      </w:r>
      <w:r w:rsidR="008E382C" w:rsidRPr="00EE7203">
        <w:rPr>
          <w:b/>
        </w:rPr>
        <w:t>future known and measureable</w:t>
      </w:r>
      <w:r w:rsidR="002D6CD2">
        <w:t xml:space="preserve"> expenses</w:t>
      </w:r>
      <w:r w:rsidR="00AD3245">
        <w:t xml:space="preserve">. </w:t>
      </w:r>
      <w:r w:rsidR="008E382C">
        <w:t>For example, property taxes or postage</w:t>
      </w:r>
      <w:r w:rsidR="00AD3245">
        <w:t xml:space="preserve"> </w:t>
      </w:r>
      <w:r w:rsidR="008E382C">
        <w:t>increases</w:t>
      </w:r>
      <w:r w:rsidR="00AD3245">
        <w:t xml:space="preserve"> after the end of the test </w:t>
      </w:r>
      <w:r w:rsidR="002D6CD2">
        <w:t>period</w:t>
      </w:r>
      <w:r w:rsidR="003A5F05" w:rsidRPr="007D578D">
        <w:t>.</w:t>
      </w:r>
    </w:p>
    <w:p w14:paraId="158554A4" w14:textId="77777777" w:rsidR="003A5F05" w:rsidRPr="003A5F05" w:rsidRDefault="004D0EE2" w:rsidP="00226C46">
      <w:pPr>
        <w:pStyle w:val="Heading3"/>
        <w:spacing w:after="0"/>
      </w:pPr>
      <w:bookmarkStart w:id="35" w:name="_Toc477173644"/>
      <w:r>
        <w:t>3</w:t>
      </w:r>
      <w:r w:rsidR="003A5F05" w:rsidRPr="003A5F05">
        <w:t>.1.</w:t>
      </w:r>
      <w:r w:rsidR="00E55C4F">
        <w:t>4</w:t>
      </w:r>
      <w:r w:rsidR="003A5F05" w:rsidRPr="003A5F05">
        <w:tab/>
      </w:r>
      <w:r w:rsidR="005A7231">
        <w:t>Debt</w:t>
      </w:r>
      <w:r w:rsidR="004F66BC">
        <w:t xml:space="preserve"> Structure</w:t>
      </w:r>
      <w:r w:rsidR="00D20E46">
        <w:t xml:space="preserve"> </w:t>
      </w:r>
      <w:r w:rsidR="00D20E46" w:rsidRPr="00B00B0D">
        <w:rPr>
          <w:b w:val="0"/>
        </w:rPr>
        <w:t xml:space="preserve">– Section </w:t>
      </w:r>
      <w:r w:rsidR="00887030">
        <w:rPr>
          <w:b w:val="0"/>
        </w:rPr>
        <w:t>4</w:t>
      </w:r>
      <w:bookmarkEnd w:id="35"/>
    </w:p>
    <w:p w14:paraId="370CC848" w14:textId="77777777" w:rsidR="003A5F05" w:rsidRPr="003A5F05" w:rsidRDefault="003A5F05" w:rsidP="00226C46"/>
    <w:p w14:paraId="006C4E8C" w14:textId="2E8BAAE1" w:rsidR="003A5F05" w:rsidRPr="003A5F05" w:rsidRDefault="001A3FAE" w:rsidP="003A5F05">
      <w:r>
        <w:t>Starting with column (k</w:t>
      </w:r>
      <w:r w:rsidR="008B6D82" w:rsidRPr="008B6D82">
        <w:t xml:space="preserve">) </w:t>
      </w:r>
      <w:r w:rsidR="008B6D82" w:rsidRPr="008B6D82">
        <w:rPr>
          <w:i/>
        </w:rPr>
        <w:t>Year</w:t>
      </w:r>
      <w:r w:rsidR="00B900BF" w:rsidRPr="00B900BF">
        <w:t xml:space="preserve"> </w:t>
      </w:r>
      <w:r w:rsidR="00B900BF">
        <w:t>thru</w:t>
      </w:r>
      <w:r>
        <w:t xml:space="preserve"> (o</w:t>
      </w:r>
      <w:r w:rsidR="00B900BF" w:rsidRPr="00B900BF">
        <w:t>)</w:t>
      </w:r>
      <w:r w:rsidR="00B900BF">
        <w:rPr>
          <w:i/>
        </w:rPr>
        <w:t xml:space="preserve"> Company Interest Rate</w:t>
      </w:r>
      <w:r w:rsidR="00B900BF">
        <w:t>, e</w:t>
      </w:r>
      <w:r w:rsidR="008B6D82" w:rsidRPr="008B6D82">
        <w:t xml:space="preserve">nter </w:t>
      </w:r>
      <w:r w:rsidR="00B900BF">
        <w:t xml:space="preserve">the </w:t>
      </w:r>
      <w:r w:rsidR="008B6D82" w:rsidRPr="008B6D82">
        <w:t>requested information in the correct cells,</w:t>
      </w:r>
      <w:r w:rsidR="00B900BF">
        <w:t xml:space="preserve"> such as</w:t>
      </w:r>
      <w:r w:rsidR="005165E6">
        <w:t xml:space="preserve"> </w:t>
      </w:r>
      <w:r w:rsidR="00B900BF">
        <w:t xml:space="preserve">the year the loan originated, description of the loan, </w:t>
      </w:r>
      <w:r w:rsidR="008B6D82" w:rsidRPr="008B6D82">
        <w:t xml:space="preserve">the type of loan </w:t>
      </w:r>
      <w:r w:rsidR="00B900BF">
        <w:t xml:space="preserve">(which </w:t>
      </w:r>
      <w:r w:rsidR="008B6D82" w:rsidRPr="008B6D82">
        <w:t>is a drop down menu</w:t>
      </w:r>
      <w:r w:rsidR="00B900BF">
        <w:t xml:space="preserve">), </w:t>
      </w:r>
      <w:r w:rsidR="008B6D82" w:rsidRPr="008B6D82">
        <w:t>enter loan balance at end of</w:t>
      </w:r>
      <w:r w:rsidR="002D6CD2">
        <w:t xml:space="preserve"> test</w:t>
      </w:r>
      <w:r w:rsidR="002D6CD2" w:rsidRPr="008B6D82">
        <w:t xml:space="preserve"> year</w:t>
      </w:r>
      <w:r w:rsidR="00B900BF">
        <w:t>, and the interest rate</w:t>
      </w:r>
      <w:r w:rsidR="008B6D82" w:rsidRPr="008B6D82">
        <w:t xml:space="preserve"> on the loan. </w:t>
      </w:r>
    </w:p>
    <w:p w14:paraId="560E02E9" w14:textId="78B4DFD9" w:rsidR="003A5F05" w:rsidRPr="003A5F05" w:rsidRDefault="004D0EE2" w:rsidP="00E0304A">
      <w:pPr>
        <w:pStyle w:val="Heading3"/>
      </w:pPr>
      <w:bookmarkStart w:id="36" w:name="_Toc477173645"/>
      <w:r>
        <w:t>3</w:t>
      </w:r>
      <w:r w:rsidR="003A5F05" w:rsidRPr="003A5F05">
        <w:t>.1.</w:t>
      </w:r>
      <w:r w:rsidR="00E55C4F">
        <w:t>5</w:t>
      </w:r>
      <w:r w:rsidR="003A5F05" w:rsidRPr="003A5F05">
        <w:tab/>
      </w:r>
      <w:r w:rsidR="007A1A66">
        <w:t xml:space="preserve">Assets, </w:t>
      </w:r>
      <w:r w:rsidR="00887030">
        <w:t xml:space="preserve">and </w:t>
      </w:r>
      <w:r w:rsidR="007A1A66">
        <w:t>D</w:t>
      </w:r>
      <w:r w:rsidR="004F66BC">
        <w:t>epreciation Schedules</w:t>
      </w:r>
      <w:r w:rsidR="0035603D">
        <w:t>, CIAC</w:t>
      </w:r>
      <w:r w:rsidR="00D20E46">
        <w:t xml:space="preserve"> </w:t>
      </w:r>
      <w:r w:rsidR="00D20E46" w:rsidRPr="00B00B0D">
        <w:rPr>
          <w:b w:val="0"/>
        </w:rPr>
        <w:t xml:space="preserve">– Section </w:t>
      </w:r>
      <w:r w:rsidR="00887030">
        <w:rPr>
          <w:b w:val="0"/>
        </w:rPr>
        <w:t>5</w:t>
      </w:r>
      <w:bookmarkEnd w:id="36"/>
    </w:p>
    <w:p w14:paraId="72928B5F" w14:textId="77777777" w:rsidR="003A5F05" w:rsidRPr="003A5F05" w:rsidRDefault="003A5F05" w:rsidP="003A5F05"/>
    <w:p w14:paraId="3E629986" w14:textId="115CBF9F" w:rsidR="004F2B1A" w:rsidRDefault="001A3FAE" w:rsidP="003A5F05">
      <w:r>
        <w:t>Starting with column (p</w:t>
      </w:r>
      <w:r w:rsidR="008B6D82" w:rsidRPr="008B6D82">
        <w:t xml:space="preserve">) </w:t>
      </w:r>
      <w:r w:rsidR="005165E6">
        <w:rPr>
          <w:i/>
        </w:rPr>
        <w:t>CIAC</w:t>
      </w:r>
      <w:r>
        <w:rPr>
          <w:i/>
        </w:rPr>
        <w:t xml:space="preserve"> </w:t>
      </w:r>
      <w:r>
        <w:t>thru (v</w:t>
      </w:r>
      <w:r w:rsidR="00903F90">
        <w:t>)</w:t>
      </w:r>
      <w:r w:rsidR="008B6D82" w:rsidRPr="008B6D82">
        <w:t xml:space="preserve"> </w:t>
      </w:r>
      <w:r>
        <w:rPr>
          <w:i/>
        </w:rPr>
        <w:t xml:space="preserve">Original </w:t>
      </w:r>
      <w:r w:rsidR="00903F90" w:rsidRPr="00903F90">
        <w:rPr>
          <w:i/>
        </w:rPr>
        <w:t>Cost</w:t>
      </w:r>
      <w:r w:rsidR="00903F90">
        <w:t>, e</w:t>
      </w:r>
      <w:r w:rsidR="008B6D82" w:rsidRPr="008B6D82">
        <w:t xml:space="preserve">nter </w:t>
      </w:r>
      <w:r w:rsidR="00903F90">
        <w:t xml:space="preserve">the </w:t>
      </w:r>
      <w:r w:rsidR="008B6D82" w:rsidRPr="008B6D82">
        <w:t>requested information in t</w:t>
      </w:r>
      <w:r w:rsidR="002D6CD2">
        <w:t xml:space="preserve">heir related </w:t>
      </w:r>
      <w:r w:rsidR="008B6D82" w:rsidRPr="008B6D82">
        <w:t>cells</w:t>
      </w:r>
      <w:r w:rsidR="004F2B1A">
        <w:t xml:space="preserve">. </w:t>
      </w:r>
      <w:r w:rsidR="00D10CDB">
        <w:t xml:space="preserve">Grouping of like items placed in service over a short period (monthly or quarterly) is allowable. </w:t>
      </w:r>
      <w:r w:rsidR="004F2B1A">
        <w:t>Most of the columns are self-</w:t>
      </w:r>
      <w:r w:rsidR="00D10CDB">
        <w:t>explanatory;</w:t>
      </w:r>
      <w:r w:rsidR="004F2B1A">
        <w:t xml:space="preserve"> those requiring specific formats or consideration are below.</w:t>
      </w:r>
    </w:p>
    <w:p w14:paraId="44661289" w14:textId="77777777" w:rsidR="004F2B1A" w:rsidRDefault="004F2B1A" w:rsidP="003A5F05"/>
    <w:p w14:paraId="0143B811" w14:textId="0446A62B" w:rsidR="004F2B1A" w:rsidRDefault="004F2B1A" w:rsidP="002C19C9">
      <w:pPr>
        <w:pStyle w:val="ListParagraph"/>
        <w:numPr>
          <w:ilvl w:val="0"/>
          <w:numId w:val="22"/>
        </w:numPr>
      </w:pPr>
      <w:r>
        <w:t xml:space="preserve">Column (p) </w:t>
      </w:r>
      <w:r w:rsidR="00022E61">
        <w:t>CIAC</w:t>
      </w:r>
      <w:r>
        <w:t xml:space="preserve"> – denote</w:t>
      </w:r>
      <w:r w:rsidR="007C1398">
        <w:t xml:space="preserve"> P</w:t>
      </w:r>
      <w:r w:rsidR="002C19C9">
        <w:t>lant</w:t>
      </w:r>
      <w:r>
        <w:t xml:space="preserve"> CIAC by placing an “</w:t>
      </w:r>
      <w:r w:rsidRPr="00A723E9">
        <w:rPr>
          <w:b/>
        </w:rPr>
        <w:t>X</w:t>
      </w:r>
      <w:r>
        <w:t>” in the column</w:t>
      </w:r>
      <w:r w:rsidR="007C1398">
        <w:t>, C</w:t>
      </w:r>
      <w:r w:rsidR="002C19C9">
        <w:t>ash</w:t>
      </w:r>
      <w:r w:rsidR="007C1398">
        <w:t xml:space="preserve"> CIAC </w:t>
      </w:r>
      <w:r w:rsidR="002C19C9">
        <w:t>with</w:t>
      </w:r>
      <w:r w:rsidR="007C1398">
        <w:t xml:space="preserve"> a “</w:t>
      </w:r>
      <w:r w:rsidR="007C1398" w:rsidRPr="00A723E9">
        <w:rPr>
          <w:b/>
        </w:rPr>
        <w:t>C</w:t>
      </w:r>
      <w:r w:rsidR="007C1398">
        <w:t>”</w:t>
      </w:r>
      <w:r>
        <w:t>, case does not matter. If an asset has both CIAC and Company contributions, list the portions on separate lines.</w:t>
      </w:r>
      <w:r w:rsidR="00022E61">
        <w:t xml:space="preserve"> </w:t>
      </w:r>
    </w:p>
    <w:p w14:paraId="5CEF8BA2" w14:textId="155E8A3B" w:rsidR="004F2B1A" w:rsidRDefault="004F2B1A" w:rsidP="00343C9C">
      <w:pPr>
        <w:pStyle w:val="ListParagraph"/>
        <w:numPr>
          <w:ilvl w:val="0"/>
          <w:numId w:val="22"/>
        </w:numPr>
      </w:pPr>
      <w:r>
        <w:t>Column (q) A</w:t>
      </w:r>
      <w:r w:rsidR="00903F90">
        <w:t xml:space="preserve">sset </w:t>
      </w:r>
      <w:r>
        <w:t xml:space="preserve">Category </w:t>
      </w:r>
      <w:r w:rsidR="00022E61">
        <w:t>(</w:t>
      </w:r>
      <w:r w:rsidR="00903F90">
        <w:t>drop-down list</w:t>
      </w:r>
      <w:r w:rsidR="00022E61">
        <w:t>)</w:t>
      </w:r>
      <w:r w:rsidR="00903F90">
        <w:t xml:space="preserve">, </w:t>
      </w:r>
      <w:r>
        <w:t xml:space="preserve">and Column (t) Service Life – the Asset Category drop down includes a generally accepted life, shown as the number in parenthesis. </w:t>
      </w:r>
      <w:r w:rsidR="00D10CDB">
        <w:t>Documented experience that asset lives differ is accepted.</w:t>
      </w:r>
    </w:p>
    <w:p w14:paraId="7F5F0A62" w14:textId="6790B14B" w:rsidR="004F2B1A" w:rsidRDefault="00D10CDB" w:rsidP="00343C9C">
      <w:pPr>
        <w:pStyle w:val="ListParagraph"/>
        <w:numPr>
          <w:ilvl w:val="0"/>
          <w:numId w:val="22"/>
        </w:numPr>
      </w:pPr>
      <w:r>
        <w:t xml:space="preserve">Column (s) Date in Service – the form requires the use </w:t>
      </w:r>
      <w:r w:rsidR="001A3FAE">
        <w:t>mm/dd/yy</w:t>
      </w:r>
      <w:r w:rsidR="00DC28D2">
        <w:t xml:space="preserve"> format</w:t>
      </w:r>
      <w:r>
        <w:t>.</w:t>
      </w:r>
    </w:p>
    <w:p w14:paraId="5A4C97CD" w14:textId="40FDE31A" w:rsidR="004F2B1A" w:rsidRDefault="004F2B1A" w:rsidP="003A5F05"/>
    <w:p w14:paraId="7AF9A1EF" w14:textId="15B349B4" w:rsidR="003A5F05" w:rsidRPr="003A5F05" w:rsidRDefault="00022E61" w:rsidP="003A5F05">
      <w:r>
        <w:t xml:space="preserve">Annual depreciation, beginning and ending accumulated depreciation and rate base </w:t>
      </w:r>
      <w:r w:rsidR="008B6D82" w:rsidRPr="008B6D82">
        <w:t>will automatically calculate.</w:t>
      </w:r>
      <w:r w:rsidR="00793A3B">
        <w:t xml:space="preserve"> The GRCW uses end</w:t>
      </w:r>
      <w:r w:rsidR="00FD066C">
        <w:t>-</w:t>
      </w:r>
      <w:r w:rsidR="00793A3B">
        <w:t>of</w:t>
      </w:r>
      <w:r w:rsidR="00FD066C">
        <w:t>-</w:t>
      </w:r>
      <w:r w:rsidR="00793A3B">
        <w:t>year depreciation to calculate the rate base.</w:t>
      </w:r>
    </w:p>
    <w:p w14:paraId="55C659B7" w14:textId="77777777" w:rsidR="003A5F05" w:rsidRPr="003A5F05" w:rsidRDefault="004D0EE2" w:rsidP="00E0304A">
      <w:pPr>
        <w:pStyle w:val="Heading3"/>
      </w:pPr>
      <w:bookmarkStart w:id="37" w:name="_Toc477173646"/>
      <w:r>
        <w:t>3</w:t>
      </w:r>
      <w:r w:rsidR="003A5F05" w:rsidRPr="003A5F05">
        <w:t>.1.</w:t>
      </w:r>
      <w:r w:rsidR="00E55C4F">
        <w:t>6</w:t>
      </w:r>
      <w:r w:rsidR="003A5F05" w:rsidRPr="003A5F05">
        <w:tab/>
      </w:r>
      <w:r w:rsidR="004F66BC">
        <w:t>Usage Data (All Metered Customers)</w:t>
      </w:r>
      <w:r w:rsidR="00D20E46">
        <w:t xml:space="preserve"> </w:t>
      </w:r>
      <w:r w:rsidR="00D20E46" w:rsidRPr="00B00B0D">
        <w:rPr>
          <w:b w:val="0"/>
        </w:rPr>
        <w:t xml:space="preserve">– Section </w:t>
      </w:r>
      <w:r w:rsidR="009C2521">
        <w:rPr>
          <w:b w:val="0"/>
        </w:rPr>
        <w:t>6</w:t>
      </w:r>
      <w:bookmarkEnd w:id="37"/>
    </w:p>
    <w:p w14:paraId="7C20B80D" w14:textId="77777777" w:rsidR="004111D3" w:rsidRDefault="004111D3" w:rsidP="003A5F05"/>
    <w:p w14:paraId="208E7769" w14:textId="75268E2A" w:rsidR="00793A3B" w:rsidRDefault="004111D3" w:rsidP="003A5F05">
      <w:r>
        <w:t xml:space="preserve">A company can use any consecutive 12-month period for their test year. </w:t>
      </w:r>
      <w:r w:rsidR="00A723E9">
        <w:t xml:space="preserve">In column </w:t>
      </w:r>
      <w:r w:rsidR="00837BEC">
        <w:t xml:space="preserve">(ac) </w:t>
      </w:r>
      <w:r w:rsidR="0090634D">
        <w:t xml:space="preserve">line 4, </w:t>
      </w:r>
      <w:r w:rsidR="00837BEC">
        <w:t>u</w:t>
      </w:r>
      <w:r w:rsidR="00793A3B">
        <w:t xml:space="preserve">se the </w:t>
      </w:r>
      <w:r w:rsidR="0090634D">
        <w:t xml:space="preserve">green </w:t>
      </w:r>
      <w:r w:rsidR="00793A3B">
        <w:t>drop down to select the starting month of the test year.</w:t>
      </w:r>
      <w:r w:rsidR="00406DB6">
        <w:t xml:space="preserve"> (</w:t>
      </w:r>
      <w:r w:rsidR="00F6430D">
        <w:t>Default</w:t>
      </w:r>
      <w:r w:rsidR="00406DB6">
        <w:t xml:space="preserve"> is for Jan-Dec)</w:t>
      </w:r>
    </w:p>
    <w:p w14:paraId="5666C5F1" w14:textId="77777777" w:rsidR="0090634D" w:rsidRDefault="0090634D" w:rsidP="0090634D"/>
    <w:p w14:paraId="307F7DE1" w14:textId="26D92533" w:rsidR="0090634D" w:rsidRDefault="0090634D" w:rsidP="0090634D">
      <w:r w:rsidRPr="008B6D82">
        <w:t xml:space="preserve">If the company bills and reads meters </w:t>
      </w:r>
      <w:r>
        <w:t>“</w:t>
      </w:r>
      <w:r w:rsidRPr="00AB291D">
        <w:rPr>
          <w:i/>
        </w:rPr>
        <w:t>bi-monthly</w:t>
      </w:r>
      <w:r>
        <w:t>”</w:t>
      </w:r>
      <w:r w:rsidRPr="008B6D82">
        <w:t xml:space="preserve"> please ensure </w:t>
      </w:r>
      <w:r>
        <w:t xml:space="preserve">that under section 1, </w:t>
      </w:r>
      <w:r w:rsidRPr="00AB291D">
        <w:rPr>
          <w:i/>
        </w:rPr>
        <w:t>Information</w:t>
      </w:r>
      <w:r>
        <w:t xml:space="preserve"> (4.1.1), that “</w:t>
      </w:r>
      <w:r w:rsidRPr="00AB291D">
        <w:rPr>
          <w:i/>
        </w:rPr>
        <w:t>bi-monthly</w:t>
      </w:r>
      <w:r>
        <w:t>”</w:t>
      </w:r>
      <w:r w:rsidRPr="008B6D82">
        <w:t xml:space="preserve"> </w:t>
      </w:r>
      <w:r>
        <w:t xml:space="preserve">is </w:t>
      </w:r>
      <w:r w:rsidRPr="008B6D82">
        <w:t>select</w:t>
      </w:r>
      <w:r>
        <w:t>ed</w:t>
      </w:r>
      <w:r w:rsidRPr="008B6D82">
        <w:t xml:space="preserve"> </w:t>
      </w:r>
      <w:r>
        <w:t>for b</w:t>
      </w:r>
      <w:r w:rsidRPr="008B6D82">
        <w:t xml:space="preserve">illing </w:t>
      </w:r>
      <w:r>
        <w:t>c</w:t>
      </w:r>
      <w:r w:rsidRPr="008B6D82">
        <w:t>ycle</w:t>
      </w:r>
      <w:r>
        <w:t xml:space="preserve"> and</w:t>
      </w:r>
      <w:r w:rsidRPr="008B6D82">
        <w:t xml:space="preserve"> enter usage data into</w:t>
      </w:r>
      <w:r>
        <w:t xml:space="preserve"> the </w:t>
      </w:r>
      <w:r w:rsidRPr="003F2589">
        <w:rPr>
          <w:b/>
        </w:rPr>
        <w:t xml:space="preserve">yellow </w:t>
      </w:r>
      <w:r w:rsidRPr="008266CC">
        <w:rPr>
          <w:b/>
        </w:rPr>
        <w:t>unshaded input cells</w:t>
      </w:r>
      <w:r w:rsidR="003F2589">
        <w:rPr>
          <w:b/>
        </w:rPr>
        <w:t xml:space="preserve"> only</w:t>
      </w:r>
      <w:r>
        <w:t>.</w:t>
      </w:r>
    </w:p>
    <w:p w14:paraId="1487C5AC" w14:textId="77777777" w:rsidR="00793A3B" w:rsidRPr="003A5F05" w:rsidRDefault="00793A3B" w:rsidP="003A5F05"/>
    <w:p w14:paraId="23476230" w14:textId="15F033DD" w:rsidR="00AB291D" w:rsidRDefault="008B6D82" w:rsidP="003A5F05">
      <w:r w:rsidRPr="008B6D82">
        <w:t>Starting with column (</w:t>
      </w:r>
      <w:r w:rsidR="005222B9">
        <w:t>aa</w:t>
      </w:r>
      <w:r w:rsidRPr="008B6D82">
        <w:t xml:space="preserve">) </w:t>
      </w:r>
      <w:r w:rsidRPr="008B6D82">
        <w:rPr>
          <w:i/>
        </w:rPr>
        <w:t xml:space="preserve">Meter </w:t>
      </w:r>
      <w:r w:rsidR="009B3456">
        <w:rPr>
          <w:i/>
        </w:rPr>
        <w:t>ID</w:t>
      </w:r>
      <w:r w:rsidR="001A3FAE">
        <w:t xml:space="preserve"> thru (</w:t>
      </w:r>
      <w:r w:rsidR="005222B9">
        <w:t>an</w:t>
      </w:r>
      <w:r w:rsidR="00AB291D">
        <w:t>)</w:t>
      </w:r>
      <w:r w:rsidR="00406DB6">
        <w:t xml:space="preserve"> </w:t>
      </w:r>
      <w:r w:rsidR="00406DB6" w:rsidRPr="00406DB6">
        <w:rPr>
          <w:i/>
        </w:rPr>
        <w:t>Dec</w:t>
      </w:r>
      <w:r w:rsidR="00AB291D">
        <w:t xml:space="preserve">, </w:t>
      </w:r>
      <w:r w:rsidR="00AB291D" w:rsidRPr="00AB291D">
        <w:t xml:space="preserve">enter the requested information in the </w:t>
      </w:r>
      <w:r w:rsidR="00793A3B">
        <w:t>related</w:t>
      </w:r>
      <w:r w:rsidR="00793A3B" w:rsidRPr="00AB291D">
        <w:t xml:space="preserve"> </w:t>
      </w:r>
      <w:r w:rsidR="00AB291D" w:rsidRPr="00AB291D">
        <w:t>cells</w:t>
      </w:r>
      <w:r w:rsidR="00AB291D">
        <w:t xml:space="preserve">. Start by </w:t>
      </w:r>
      <w:r w:rsidRPr="008B6D82">
        <w:t>select</w:t>
      </w:r>
      <w:r w:rsidR="00AB291D">
        <w:t>ing</w:t>
      </w:r>
      <w:r w:rsidRPr="008B6D82">
        <w:t xml:space="preserve"> from the drop down menu the meter size. </w:t>
      </w:r>
      <w:r w:rsidR="00AB291D" w:rsidRPr="008B6D82">
        <w:t>Next,</w:t>
      </w:r>
      <w:r w:rsidRPr="008B6D82">
        <w:t xml:space="preserve"> enter the meter </w:t>
      </w:r>
      <w:r w:rsidR="00793A3B">
        <w:t>id. If no meter id or account number is available, ent</w:t>
      </w:r>
      <w:r w:rsidR="004B79B7">
        <w:t>er a simple count (1, 2, etc.). U</w:t>
      </w:r>
      <w:r w:rsidRPr="008B6D82">
        <w:t>sage data for each customer for the test year</w:t>
      </w:r>
      <w:r w:rsidR="004B79B7">
        <w:t xml:space="preserve"> must align with the month in column title</w:t>
      </w:r>
      <w:r w:rsidR="00AB291D">
        <w:t>.</w:t>
      </w:r>
      <w:r w:rsidRPr="008B6D82">
        <w:t xml:space="preserve"> Note: information </w:t>
      </w:r>
      <w:r w:rsidR="002D741E">
        <w:t>may</w:t>
      </w:r>
      <w:r w:rsidRPr="008B6D82">
        <w:t xml:space="preserve"> be cop</w:t>
      </w:r>
      <w:r w:rsidR="005B5CA5">
        <w:t>ied</w:t>
      </w:r>
      <w:r w:rsidRPr="008B6D82">
        <w:t xml:space="preserve"> </w:t>
      </w:r>
      <w:r w:rsidR="002D741E">
        <w:t>to excel using the Copy” and</w:t>
      </w:r>
      <w:r w:rsidRPr="008B6D82">
        <w:t xml:space="preserve"> </w:t>
      </w:r>
      <w:r w:rsidR="005222B9">
        <w:t>“</w:t>
      </w:r>
      <w:r w:rsidR="002D741E">
        <w:t>P</w:t>
      </w:r>
      <w:r w:rsidRPr="008B6D82">
        <w:t>as</w:t>
      </w:r>
      <w:r w:rsidR="005222B9">
        <w:t xml:space="preserve">te </w:t>
      </w:r>
      <w:r w:rsidR="002D741E">
        <w:t>S</w:t>
      </w:r>
      <w:r w:rsidR="005222B9">
        <w:t>pecial</w:t>
      </w:r>
      <w:r w:rsidR="002D741E">
        <w:t xml:space="preserve"> - Value</w:t>
      </w:r>
      <w:r w:rsidR="005222B9">
        <w:t>”</w:t>
      </w:r>
      <w:r w:rsidR="002D741E">
        <w:t xml:space="preserve"> functions</w:t>
      </w:r>
      <w:r w:rsidR="00AB291D">
        <w:t xml:space="preserve"> into the appropriate cells.</w:t>
      </w:r>
      <w:r w:rsidR="002D741E">
        <w:t xml:space="preserve"> Both functions are accessed through right clicking.</w:t>
      </w:r>
      <w:r w:rsidR="00B57DCD">
        <w:t xml:space="preserve"> </w:t>
      </w:r>
      <w:r w:rsidR="002D741E">
        <w:t>Complete u</w:t>
      </w:r>
      <w:r w:rsidR="00081ECA">
        <w:t xml:space="preserve">sage data </w:t>
      </w:r>
      <w:r w:rsidR="00D22C48">
        <w:t>adjustments prior</w:t>
      </w:r>
      <w:r w:rsidR="00CA0413">
        <w:t xml:space="preserve"> to entry</w:t>
      </w:r>
      <w:r w:rsidR="00B57DCD">
        <w:t xml:space="preserve"> in the workbook.</w:t>
      </w:r>
    </w:p>
    <w:p w14:paraId="07B93F6D" w14:textId="68C2F0F1" w:rsidR="002544B3" w:rsidRPr="002544B3" w:rsidRDefault="002544B3" w:rsidP="003A5F05">
      <w:pPr>
        <w:rPr>
          <w:b/>
        </w:rPr>
      </w:pPr>
      <w:r w:rsidRPr="002544B3">
        <w:rPr>
          <w:b/>
        </w:rPr>
        <w:t>DO NOT enter zero for a meter reading, leave cell blank if no usage.</w:t>
      </w:r>
    </w:p>
    <w:p w14:paraId="5BF2F242" w14:textId="77777777" w:rsidR="00391970" w:rsidRDefault="00391970" w:rsidP="003A5F05"/>
    <w:p w14:paraId="4EB27436" w14:textId="65F43852" w:rsidR="003A0885" w:rsidRDefault="003A0885" w:rsidP="003A5F05">
      <w:r w:rsidRPr="007A4C79">
        <w:rPr>
          <w:b/>
          <w:u w:val="single"/>
        </w:rPr>
        <w:lastRenderedPageBreak/>
        <w:t xml:space="preserve">Meter usage data </w:t>
      </w:r>
      <w:r w:rsidR="0030597D" w:rsidRPr="007A4C79">
        <w:rPr>
          <w:b/>
          <w:u w:val="single"/>
        </w:rPr>
        <w:t xml:space="preserve">input </w:t>
      </w:r>
      <w:r w:rsidRPr="007A4C79">
        <w:rPr>
          <w:b/>
          <w:u w:val="single"/>
        </w:rPr>
        <w:t>should only be used for metered customers</w:t>
      </w:r>
      <w:r>
        <w:t>. Non-metered and ready-to-serve cus</w:t>
      </w:r>
      <w:r w:rsidR="0030597D">
        <w:t>t</w:t>
      </w:r>
      <w:r>
        <w:t>omer data is taken from the input section 1 under company information.</w:t>
      </w:r>
      <w:r w:rsidR="007A4C79">
        <w:t xml:space="preserve"> Do not enter any non-metered customer information in this section.</w:t>
      </w:r>
    </w:p>
    <w:p w14:paraId="0CE93B1D" w14:textId="77777777" w:rsidR="006D73E3" w:rsidRDefault="006D73E3" w:rsidP="003A5F05"/>
    <w:p w14:paraId="2F21160F" w14:textId="77777777" w:rsidR="003A5F05" w:rsidRPr="003A5F05" w:rsidRDefault="004D0EE2" w:rsidP="00E0304A">
      <w:pPr>
        <w:pStyle w:val="Heading3"/>
      </w:pPr>
      <w:bookmarkStart w:id="38" w:name="_Toc477173647"/>
      <w:r>
        <w:t>3</w:t>
      </w:r>
      <w:r w:rsidR="003A5F05" w:rsidRPr="003A5F05">
        <w:t>.1.</w:t>
      </w:r>
      <w:r w:rsidR="00E55C4F">
        <w:t>7</w:t>
      </w:r>
      <w:r w:rsidR="004F66BC">
        <w:tab/>
        <w:t>Federal Income Tax Rate</w:t>
      </w:r>
      <w:r w:rsidR="00D20E46">
        <w:t xml:space="preserve"> </w:t>
      </w:r>
      <w:r w:rsidR="00D20E46" w:rsidRPr="00B00B0D">
        <w:rPr>
          <w:b w:val="0"/>
        </w:rPr>
        <w:t xml:space="preserve">– Section </w:t>
      </w:r>
      <w:r w:rsidR="009C2521">
        <w:rPr>
          <w:b w:val="0"/>
        </w:rPr>
        <w:t>7</w:t>
      </w:r>
      <w:bookmarkEnd w:id="38"/>
    </w:p>
    <w:p w14:paraId="2357FA25" w14:textId="77777777" w:rsidR="003A5F05" w:rsidRPr="003A5F05" w:rsidRDefault="003A5F05" w:rsidP="003A5F05"/>
    <w:p w14:paraId="4C11A403" w14:textId="30B8E4A8" w:rsidR="00F0127A" w:rsidRPr="003A5F05" w:rsidRDefault="008B6D82" w:rsidP="003A5F05">
      <w:r w:rsidRPr="008B6D82">
        <w:t>In column (a</w:t>
      </w:r>
      <w:r w:rsidR="005222B9">
        <w:t>o</w:t>
      </w:r>
      <w:r w:rsidRPr="008B6D82">
        <w:t>)</w:t>
      </w:r>
      <w:r w:rsidR="00467C50">
        <w:t>,</w:t>
      </w:r>
      <w:r w:rsidRPr="008B6D82">
        <w:t xml:space="preserve"> company’s </w:t>
      </w:r>
      <w:r w:rsidR="00467C50">
        <w:t xml:space="preserve">FIT </w:t>
      </w:r>
      <w:r w:rsidRPr="008B6D82">
        <w:t>rate</w:t>
      </w:r>
      <w:r w:rsidR="00CB30D1">
        <w:t xml:space="preserve"> is 21 %</w:t>
      </w:r>
      <w:r w:rsidRPr="008B6D82">
        <w:t xml:space="preserve">. </w:t>
      </w:r>
      <w:r w:rsidR="00CB30D1">
        <w:t>L</w:t>
      </w:r>
      <w:r w:rsidRPr="008B6D82">
        <w:t>eave</w:t>
      </w:r>
      <w:r w:rsidR="00467C50">
        <w:t xml:space="preserve"> at default of </w:t>
      </w:r>
      <w:r w:rsidR="00CB30D1">
        <w:t>21</w:t>
      </w:r>
      <w:r w:rsidR="00467C50">
        <w:t xml:space="preserve"> percent</w:t>
      </w:r>
      <w:r w:rsidR="003A5F05" w:rsidRPr="003A5F05">
        <w:t>.</w:t>
      </w:r>
    </w:p>
    <w:p w14:paraId="60679081" w14:textId="77777777" w:rsidR="003A5F05" w:rsidRPr="003A5F05" w:rsidRDefault="004D0EE2" w:rsidP="00E0304A">
      <w:pPr>
        <w:pStyle w:val="Heading3"/>
      </w:pPr>
      <w:bookmarkStart w:id="39" w:name="_Toc477173648"/>
      <w:r>
        <w:t>3</w:t>
      </w:r>
      <w:r w:rsidR="003A5F05" w:rsidRPr="003A5F05">
        <w:t>.1.</w:t>
      </w:r>
      <w:r w:rsidR="00E55C4F">
        <w:t>8</w:t>
      </w:r>
      <w:r w:rsidR="003A5F05" w:rsidRPr="003A5F05">
        <w:tab/>
      </w:r>
      <w:r w:rsidR="004F66BC">
        <w:t>Conversion Factor</w:t>
      </w:r>
      <w:r w:rsidR="00D20E46">
        <w:t xml:space="preserve"> </w:t>
      </w:r>
      <w:r w:rsidR="00D20E46" w:rsidRPr="00B00B0D">
        <w:rPr>
          <w:b w:val="0"/>
        </w:rPr>
        <w:t xml:space="preserve">– Section </w:t>
      </w:r>
      <w:r w:rsidR="009C2521">
        <w:rPr>
          <w:b w:val="0"/>
        </w:rPr>
        <w:t>8</w:t>
      </w:r>
      <w:bookmarkEnd w:id="39"/>
    </w:p>
    <w:p w14:paraId="001FA12D" w14:textId="77777777" w:rsidR="003A5F05" w:rsidRPr="003A5F05" w:rsidRDefault="003A5F05" w:rsidP="003A5F05"/>
    <w:p w14:paraId="3B3D89F9" w14:textId="7EEDB992" w:rsidR="00F0127A" w:rsidRDefault="00467C50" w:rsidP="003A5F05">
      <w:r>
        <w:t>In column (a</w:t>
      </w:r>
      <w:r w:rsidR="005222B9">
        <w:t>q</w:t>
      </w:r>
      <w:r w:rsidR="008B6D82" w:rsidRPr="008B6D82">
        <w:t>)</w:t>
      </w:r>
      <w:r>
        <w:t>,</w:t>
      </w:r>
      <w:r w:rsidR="008B6D82" w:rsidRPr="008B6D82">
        <w:t xml:space="preserve"> enter the company’s conversion </w:t>
      </w:r>
      <w:r w:rsidR="00717D57">
        <w:t>factor</w:t>
      </w:r>
      <w:r w:rsidR="008B6D82" w:rsidRPr="008B6D82">
        <w:t xml:space="preserve">. If </w:t>
      </w:r>
      <w:r w:rsidRPr="008B6D82">
        <w:t>unknown,</w:t>
      </w:r>
      <w:r w:rsidR="008B6D82" w:rsidRPr="008B6D82">
        <w:t xml:space="preserve"> enter the suggested conversion </w:t>
      </w:r>
      <w:r w:rsidR="00717D57">
        <w:t>factor</w:t>
      </w:r>
      <w:r w:rsidR="008B6D82" w:rsidRPr="008B6D82">
        <w:t xml:space="preserve"> </w:t>
      </w:r>
      <w:r w:rsidR="00717D57">
        <w:t xml:space="preserve">(Suggested CF) </w:t>
      </w:r>
      <w:r w:rsidR="008B6D82" w:rsidRPr="008B6D82">
        <w:t>calculated by the worksheet</w:t>
      </w:r>
      <w:r w:rsidR="002921FD" w:rsidRPr="003A5F05">
        <w:t>.</w:t>
      </w:r>
      <w:r w:rsidR="002921FD">
        <w:t xml:space="preserve"> </w:t>
      </w:r>
      <w:r>
        <w:t xml:space="preserve">Note: suggested conversion </w:t>
      </w:r>
      <w:r w:rsidR="00717D57">
        <w:t>factor</w:t>
      </w:r>
      <w:r>
        <w:t xml:space="preserve"> </w:t>
      </w:r>
      <w:r w:rsidR="00F0127A">
        <w:t xml:space="preserve">will </w:t>
      </w:r>
      <w:r>
        <w:t>cha</w:t>
      </w:r>
      <w:r w:rsidR="009B3456">
        <w:t xml:space="preserve">nge </w:t>
      </w:r>
      <w:r w:rsidR="00717D57">
        <w:t xml:space="preserve">when a number is entered </w:t>
      </w:r>
      <w:r w:rsidR="009B3456">
        <w:t>into column (a</w:t>
      </w:r>
      <w:r w:rsidR="005222B9">
        <w:t>q</w:t>
      </w:r>
      <w:r>
        <w:t>)</w:t>
      </w:r>
      <w:r w:rsidR="00717D57">
        <w:t>; repeat entering this number until the suggested conversion factor stops changing</w:t>
      </w:r>
      <w:r w:rsidR="00F0127A">
        <w:t>.</w:t>
      </w:r>
    </w:p>
    <w:p w14:paraId="16119326" w14:textId="77777777" w:rsidR="00F0127A" w:rsidRDefault="00F0127A" w:rsidP="003A5F05"/>
    <w:p w14:paraId="5876E109" w14:textId="00F519C4" w:rsidR="003A5F05" w:rsidRPr="003A5F05" w:rsidRDefault="00097188" w:rsidP="003A5F05">
      <w:r>
        <w:t>The Conversion Factor cell</w:t>
      </w:r>
      <w:r w:rsidR="00F0127A">
        <w:t xml:space="preserve"> should be</w:t>
      </w:r>
      <w:r>
        <w:t xml:space="preserve"> yellow</w:t>
      </w:r>
      <w:r w:rsidR="00F0127A">
        <w:t>,</w:t>
      </w:r>
      <w:r w:rsidR="00F0127A" w:rsidRPr="00F0127A">
        <w:t xml:space="preserve"> </w:t>
      </w:r>
      <w:r w:rsidR="00F0127A">
        <w:t>and the “PFIS Setting” green</w:t>
      </w:r>
      <w:r>
        <w:t>.</w:t>
      </w:r>
      <w:r w:rsidR="00F0127A" w:rsidRPr="00F0127A">
        <w:t xml:space="preserve"> </w:t>
      </w:r>
      <w:r w:rsidR="00F0127A">
        <w:t>If the Conversion Factor cell and the “PFIS Setting” are red, go to the “PFIS” tab, and use the drop-down to change cell Q9 (Select Party) to “Company”.</w:t>
      </w:r>
    </w:p>
    <w:p w14:paraId="63A3FE1F" w14:textId="77777777" w:rsidR="006D0665" w:rsidRPr="006D0665" w:rsidRDefault="004D0EE2" w:rsidP="006D0665">
      <w:pPr>
        <w:pStyle w:val="Heading2"/>
        <w:ind w:left="720" w:hanging="720"/>
      </w:pPr>
      <w:bookmarkStart w:id="40" w:name="_Toc477173649"/>
      <w:r>
        <w:t>3</w:t>
      </w:r>
      <w:r w:rsidR="006D0665" w:rsidRPr="006D0665">
        <w:t>.</w:t>
      </w:r>
      <w:r w:rsidR="00DA7422">
        <w:t>2</w:t>
      </w:r>
      <w:r w:rsidR="006D0665" w:rsidRPr="006D0665">
        <w:tab/>
      </w:r>
      <w:r w:rsidR="00DA7422" w:rsidRPr="00DA7422">
        <w:t>Expected Output</w:t>
      </w:r>
      <w:r w:rsidR="009C2521">
        <w:t xml:space="preserve"> [Tab Output]</w:t>
      </w:r>
      <w:bookmarkEnd w:id="40"/>
    </w:p>
    <w:p w14:paraId="2558CA0C" w14:textId="77777777" w:rsidR="006D0665" w:rsidRPr="006D0665" w:rsidRDefault="006D0665" w:rsidP="006D0665"/>
    <w:p w14:paraId="5A4BFF95" w14:textId="00CEBA27" w:rsidR="006D0665" w:rsidRPr="006D0665" w:rsidRDefault="00204C8E" w:rsidP="00204C8E">
      <w:r w:rsidRPr="00204C8E">
        <w:t xml:space="preserve">Below are detailed series of instructions describing the </w:t>
      </w:r>
      <w:r>
        <w:t>expected outputs</w:t>
      </w:r>
      <w:r w:rsidRPr="00204C8E">
        <w:t xml:space="preserve"> fo</w:t>
      </w:r>
      <w:r>
        <w:t>r</w:t>
      </w:r>
      <w:r w:rsidRPr="00204C8E">
        <w:t xml:space="preserve"> t</w:t>
      </w:r>
      <w:r>
        <w:t>he</w:t>
      </w:r>
      <w:r w:rsidR="00941044">
        <w:t xml:space="preserve"> </w:t>
      </w:r>
      <w:r w:rsidR="006D73E3">
        <w:t xml:space="preserve">GRC </w:t>
      </w:r>
      <w:r w:rsidR="00025B93">
        <w:t>workbook</w:t>
      </w:r>
      <w:r w:rsidRPr="00204C8E">
        <w:t>.</w:t>
      </w:r>
    </w:p>
    <w:p w14:paraId="3098CD13" w14:textId="77777777" w:rsidR="006D0665" w:rsidRPr="006D0665" w:rsidRDefault="004D0EE2" w:rsidP="006D0665">
      <w:pPr>
        <w:pStyle w:val="Heading3"/>
        <w:ind w:left="720" w:hanging="720"/>
      </w:pPr>
      <w:bookmarkStart w:id="41" w:name="_Toc477173650"/>
      <w:r>
        <w:t>3</w:t>
      </w:r>
      <w:r w:rsidR="006D0665" w:rsidRPr="006D0665">
        <w:t>.</w:t>
      </w:r>
      <w:r w:rsidR="003A5F05">
        <w:t>2</w:t>
      </w:r>
      <w:r w:rsidR="006D0665" w:rsidRPr="006D0665">
        <w:t>.</w:t>
      </w:r>
      <w:r w:rsidR="003A5F05">
        <w:t>1</w:t>
      </w:r>
      <w:r w:rsidR="006D0665" w:rsidRPr="006D0665">
        <w:tab/>
      </w:r>
      <w:r w:rsidR="004F66BC">
        <w:t>Revenue Requirement</w:t>
      </w:r>
      <w:r w:rsidR="00D20E46">
        <w:t xml:space="preserve"> </w:t>
      </w:r>
      <w:r w:rsidR="00D20E46" w:rsidRPr="00B00B0D">
        <w:rPr>
          <w:b w:val="0"/>
        </w:rPr>
        <w:t xml:space="preserve">– Section </w:t>
      </w:r>
      <w:r w:rsidR="009C2521">
        <w:rPr>
          <w:b w:val="0"/>
        </w:rPr>
        <w:t>9</w:t>
      </w:r>
      <w:bookmarkEnd w:id="41"/>
    </w:p>
    <w:p w14:paraId="7100127D" w14:textId="77777777" w:rsidR="008B6D82" w:rsidRDefault="008B6D82" w:rsidP="008B6D82"/>
    <w:p w14:paraId="2AD23548" w14:textId="77777777" w:rsidR="008B6D82" w:rsidRPr="008B6D82" w:rsidRDefault="008B6D82" w:rsidP="008B6D82">
      <w:r w:rsidRPr="008B6D82">
        <w:t>The revenue requirement will calculate the revenue impact of the proposed rates by each class affected (metered, unmetered, and ready-to-serve), it will also give the total additional annual revenue requirement, and a percentage difference from current revenue.</w:t>
      </w:r>
      <w:r w:rsidR="007345A2">
        <w:t xml:space="preserve"> This information is useful in drafting the notice to customers and cover letter for the general rate filing.</w:t>
      </w:r>
    </w:p>
    <w:p w14:paraId="5D52C5F9" w14:textId="77777777" w:rsidR="008B6D82" w:rsidRPr="008B6D82" w:rsidRDefault="008B6D82" w:rsidP="008B6D82"/>
    <w:p w14:paraId="4B81D1D9" w14:textId="777624C4" w:rsidR="006D0665" w:rsidRDefault="00097188" w:rsidP="008B6D82">
      <w:r>
        <w:t>T</w:t>
      </w:r>
      <w:r w:rsidR="008B6D82" w:rsidRPr="008B6D82">
        <w:t>his information is in</w:t>
      </w:r>
      <w:r w:rsidR="009C2521">
        <w:t xml:space="preserve"> </w:t>
      </w:r>
      <w:r w:rsidR="008B6D82" w:rsidRPr="008B6D82">
        <w:t xml:space="preserve">compliance with WAC 480-07-530 </w:t>
      </w:r>
      <w:r w:rsidR="009C2521">
        <w:t xml:space="preserve">(c) </w:t>
      </w:r>
      <w:r w:rsidR="008B6D82" w:rsidRPr="008B6D82">
        <w:t>(General Rate Proce</w:t>
      </w:r>
      <w:r w:rsidR="009C2521">
        <w:t>eding</w:t>
      </w:r>
      <w:r w:rsidR="008B6D82" w:rsidRPr="008B6D82">
        <w:t>’s – Water Companies) part for what is required in a cover letter to the Commission for a general rate case and work papers</w:t>
      </w:r>
      <w:r w:rsidR="006D0665" w:rsidRPr="006D0665">
        <w:t>.</w:t>
      </w:r>
    </w:p>
    <w:p w14:paraId="4E5C5D5B" w14:textId="77777777" w:rsidR="00E0304A" w:rsidRPr="00E0304A" w:rsidRDefault="004D0EE2" w:rsidP="00E0304A">
      <w:pPr>
        <w:pStyle w:val="Heading3"/>
        <w:ind w:left="720" w:hanging="720"/>
      </w:pPr>
      <w:bookmarkStart w:id="42" w:name="_Toc477173651"/>
      <w:r>
        <w:t>3</w:t>
      </w:r>
      <w:r w:rsidR="00E0304A" w:rsidRPr="00E0304A">
        <w:t>.2.2</w:t>
      </w:r>
      <w:r w:rsidR="004F66BC">
        <w:tab/>
        <w:t>Monthly Rates (</w:t>
      </w:r>
      <w:r w:rsidR="00597C2F">
        <w:t xml:space="preserve">Company </w:t>
      </w:r>
      <w:r w:rsidR="004F66BC">
        <w:t>Proposed Rate Design)</w:t>
      </w:r>
      <w:r w:rsidR="00D20E46">
        <w:t xml:space="preserve"> </w:t>
      </w:r>
      <w:r w:rsidR="00D20E46" w:rsidRPr="00B00B0D">
        <w:rPr>
          <w:b w:val="0"/>
        </w:rPr>
        <w:t>– Section 1</w:t>
      </w:r>
      <w:r w:rsidR="009C2521">
        <w:rPr>
          <w:b w:val="0"/>
        </w:rPr>
        <w:t>0</w:t>
      </w:r>
      <w:bookmarkEnd w:id="42"/>
    </w:p>
    <w:p w14:paraId="487638A3" w14:textId="77777777" w:rsidR="00E0304A" w:rsidRPr="002757F7" w:rsidRDefault="00E0304A" w:rsidP="00E0304A"/>
    <w:p w14:paraId="67D6CF69" w14:textId="3D101AD4" w:rsidR="00717D57" w:rsidRDefault="009C2521" w:rsidP="006A7573">
      <w:r>
        <w:t xml:space="preserve">Based on the following rate design practices, this proposed rate design starting </w:t>
      </w:r>
      <w:r w:rsidR="00717D57">
        <w:t>point</w:t>
      </w:r>
      <w:r>
        <w:t xml:space="preserve"> should be part of the company’s general rate filing. </w:t>
      </w:r>
      <w:r w:rsidR="002757F7">
        <w:t xml:space="preserve">The rate design will calculate </w:t>
      </w:r>
      <w:r w:rsidR="00717D57">
        <w:t xml:space="preserve">for ready-to-serve, unmetered, and metered </w:t>
      </w:r>
      <w:r w:rsidR="002757F7">
        <w:t>customers</w:t>
      </w:r>
      <w:r w:rsidR="00717D57">
        <w:t>.</w:t>
      </w:r>
    </w:p>
    <w:p w14:paraId="2D81AEC8" w14:textId="2DE21846" w:rsidR="00717D57" w:rsidRDefault="00717D57" w:rsidP="006A7573"/>
    <w:p w14:paraId="782819C7" w14:textId="7E8A3F12" w:rsidR="00947BA4" w:rsidRDefault="00B4452F" w:rsidP="006A7573">
      <w:r>
        <w:t>To help conservation, the rate design by default removes any water usage allowance, sets ready-to-serv</w:t>
      </w:r>
      <w:r w:rsidR="002E05E9">
        <w:t xml:space="preserve">e equal to the base rate for </w:t>
      </w:r>
      <w:r w:rsidR="00FC0D08">
        <w:t xml:space="preserve">most common </w:t>
      </w:r>
      <w:r w:rsidR="002E05E9">
        <w:t>meter size</w:t>
      </w:r>
      <w:r>
        <w:t xml:space="preserve">, </w:t>
      </w:r>
      <w:r w:rsidR="00947BA4">
        <w:t>and</w:t>
      </w:r>
      <w:r>
        <w:t xml:space="preserve"> implement</w:t>
      </w:r>
      <w:r w:rsidR="00717D57">
        <w:t>s</w:t>
      </w:r>
      <w:r>
        <w:t xml:space="preserve"> an inclining </w:t>
      </w:r>
      <w:r w:rsidR="00947BA4">
        <w:t>three-block</w:t>
      </w:r>
      <w:r>
        <w:t xml:space="preserve"> design</w:t>
      </w:r>
      <w:r w:rsidR="00947BA4">
        <w:t>,</w:t>
      </w:r>
      <w:r>
        <w:t xml:space="preserve"> based on</w:t>
      </w:r>
      <w:r w:rsidR="00947BA4">
        <w:t xml:space="preserve"> average</w:t>
      </w:r>
      <w:r>
        <w:t xml:space="preserve"> winter</w:t>
      </w:r>
      <w:r w:rsidR="00947BA4">
        <w:t xml:space="preserve"> (block 1), average </w:t>
      </w:r>
      <w:r>
        <w:t>summer</w:t>
      </w:r>
      <w:r w:rsidR="00947BA4">
        <w:t xml:space="preserve"> (block 2), and high usage (block 3)</w:t>
      </w:r>
      <w:r w:rsidR="002921FD">
        <w:t>.</w:t>
      </w:r>
      <w:r w:rsidR="00947BA4">
        <w:t xml:space="preserve"> It also generates rates for other meter sizes based on </w:t>
      </w:r>
      <w:r w:rsidR="006D73E3">
        <w:t>meter factor (</w:t>
      </w:r>
      <w:r w:rsidR="00947BA4">
        <w:t>flow capacities</w:t>
      </w:r>
      <w:r w:rsidR="006D73E3">
        <w:t>)</w:t>
      </w:r>
      <w:r w:rsidR="00947BA4">
        <w:t>.</w:t>
      </w:r>
    </w:p>
    <w:p w14:paraId="454ED3E0" w14:textId="77777777" w:rsidR="00143BAB" w:rsidRDefault="00143BAB" w:rsidP="006A7573"/>
    <w:p w14:paraId="0EAB8D89" w14:textId="66616E66" w:rsidR="00143BAB" w:rsidRDefault="00143BAB" w:rsidP="006A7573">
      <w:r>
        <w:t>Example diagram on next page.</w:t>
      </w:r>
    </w:p>
    <w:p w14:paraId="7C230BC4" w14:textId="77777777" w:rsidR="00143BAB" w:rsidRDefault="00143BAB" w:rsidP="006A7573"/>
    <w:p w14:paraId="678764C6" w14:textId="77777777" w:rsidR="00143BAB" w:rsidRDefault="00143BAB" w:rsidP="006A7573"/>
    <w:p w14:paraId="5031E276" w14:textId="77777777" w:rsidR="00143BAB" w:rsidRDefault="00143BAB" w:rsidP="006A7573"/>
    <w:p w14:paraId="24C99D3D" w14:textId="77777777" w:rsidR="00143BAB" w:rsidRDefault="00143BAB" w:rsidP="006A7573"/>
    <w:p w14:paraId="65A1F4DD" w14:textId="77777777" w:rsidR="00143BAB" w:rsidRDefault="00143BAB" w:rsidP="006A7573"/>
    <w:p w14:paraId="113BBBF9" w14:textId="77777777" w:rsidR="00143BAB" w:rsidRDefault="00143BAB" w:rsidP="006A7573"/>
    <w:p w14:paraId="723705CF" w14:textId="27EF3069" w:rsidR="002757F7" w:rsidRPr="007D578D" w:rsidRDefault="00947BA4" w:rsidP="006A7573">
      <w:r>
        <w:t>E</w:t>
      </w:r>
      <w:r w:rsidR="00B4452F">
        <w:t>xample of inclining three block design below.</w:t>
      </w:r>
    </w:p>
    <w:tbl>
      <w:tblPr>
        <w:tblW w:w="5000" w:type="pct"/>
        <w:tblLook w:val="04A0" w:firstRow="1" w:lastRow="0" w:firstColumn="1" w:lastColumn="0" w:noHBand="0" w:noVBand="1"/>
      </w:tblPr>
      <w:tblGrid>
        <w:gridCol w:w="1679"/>
        <w:gridCol w:w="2087"/>
        <w:gridCol w:w="2693"/>
        <w:gridCol w:w="2891"/>
      </w:tblGrid>
      <w:tr w:rsidR="002757F7" w:rsidRPr="002757F7" w14:paraId="098E013D" w14:textId="77777777" w:rsidTr="002E05E9">
        <w:trPr>
          <w:trHeight w:val="315"/>
        </w:trPr>
        <w:tc>
          <w:tcPr>
            <w:tcW w:w="5000" w:type="pct"/>
            <w:gridSpan w:val="4"/>
            <w:tcBorders>
              <w:top w:val="single" w:sz="4" w:space="0" w:color="auto"/>
              <w:left w:val="single" w:sz="4" w:space="0" w:color="auto"/>
              <w:bottom w:val="nil"/>
              <w:right w:val="single" w:sz="4" w:space="0" w:color="000000"/>
            </w:tcBorders>
            <w:shd w:val="clear" w:color="auto" w:fill="auto"/>
            <w:noWrap/>
            <w:vAlign w:val="bottom"/>
            <w:hideMark/>
          </w:tcPr>
          <w:p w14:paraId="43E6D534" w14:textId="77777777" w:rsidR="002757F7" w:rsidRPr="002757F7" w:rsidRDefault="002757F7" w:rsidP="002757F7">
            <w:pPr>
              <w:overflowPunct/>
              <w:autoSpaceDE/>
              <w:autoSpaceDN/>
              <w:adjustRightInd/>
              <w:jc w:val="center"/>
              <w:textAlignment w:val="auto"/>
              <w:rPr>
                <w:b/>
                <w:bCs/>
                <w:sz w:val="24"/>
                <w:szCs w:val="24"/>
              </w:rPr>
            </w:pPr>
            <w:r w:rsidRPr="002757F7">
              <w:rPr>
                <w:b/>
                <w:bCs/>
                <w:sz w:val="24"/>
                <w:szCs w:val="24"/>
              </w:rPr>
              <w:t>3/4-inch</w:t>
            </w:r>
          </w:p>
        </w:tc>
      </w:tr>
      <w:tr w:rsidR="002757F7" w:rsidRPr="002757F7" w14:paraId="6A2EE8BD" w14:textId="77777777" w:rsidTr="002E05E9">
        <w:trPr>
          <w:trHeight w:val="315"/>
        </w:trPr>
        <w:tc>
          <w:tcPr>
            <w:tcW w:w="898" w:type="pct"/>
            <w:tcBorders>
              <w:top w:val="nil"/>
              <w:left w:val="single" w:sz="4" w:space="0" w:color="auto"/>
              <w:bottom w:val="nil"/>
              <w:right w:val="nil"/>
            </w:tcBorders>
            <w:shd w:val="clear" w:color="auto" w:fill="auto"/>
            <w:noWrap/>
            <w:vAlign w:val="bottom"/>
            <w:hideMark/>
          </w:tcPr>
          <w:p w14:paraId="27D2305E" w14:textId="77777777" w:rsidR="002757F7" w:rsidRPr="002757F7" w:rsidRDefault="002757F7" w:rsidP="002757F7">
            <w:pPr>
              <w:overflowPunct/>
              <w:autoSpaceDE/>
              <w:autoSpaceDN/>
              <w:adjustRightInd/>
              <w:jc w:val="right"/>
              <w:textAlignment w:val="auto"/>
              <w:rPr>
                <w:b/>
                <w:bCs/>
                <w:sz w:val="24"/>
                <w:szCs w:val="24"/>
              </w:rPr>
            </w:pPr>
            <w:r w:rsidRPr="002757F7">
              <w:rPr>
                <w:b/>
                <w:bCs/>
                <w:sz w:val="24"/>
                <w:szCs w:val="24"/>
              </w:rPr>
              <w:t>Base</w:t>
            </w:r>
          </w:p>
        </w:tc>
        <w:tc>
          <w:tcPr>
            <w:tcW w:w="1116" w:type="pct"/>
            <w:tcBorders>
              <w:top w:val="nil"/>
              <w:left w:val="nil"/>
              <w:bottom w:val="nil"/>
              <w:right w:val="nil"/>
            </w:tcBorders>
            <w:shd w:val="clear" w:color="000000" w:fill="CCC0DA"/>
            <w:noWrap/>
            <w:vAlign w:val="bottom"/>
            <w:hideMark/>
          </w:tcPr>
          <w:p w14:paraId="45964A42" w14:textId="77777777" w:rsidR="002757F7" w:rsidRPr="002757F7" w:rsidRDefault="002757F7" w:rsidP="002757F7">
            <w:pPr>
              <w:overflowPunct/>
              <w:autoSpaceDE/>
              <w:autoSpaceDN/>
              <w:adjustRightInd/>
              <w:jc w:val="right"/>
              <w:textAlignment w:val="auto"/>
              <w:rPr>
                <w:b/>
                <w:bCs/>
                <w:color w:val="C00000"/>
                <w:sz w:val="24"/>
                <w:szCs w:val="24"/>
              </w:rPr>
            </w:pPr>
            <w:r w:rsidRPr="002757F7">
              <w:rPr>
                <w:b/>
                <w:bCs/>
                <w:color w:val="C00000"/>
                <w:sz w:val="24"/>
                <w:szCs w:val="24"/>
              </w:rPr>
              <w:t xml:space="preserve">$18.21 </w:t>
            </w:r>
          </w:p>
        </w:tc>
        <w:tc>
          <w:tcPr>
            <w:tcW w:w="1440" w:type="pct"/>
            <w:tcBorders>
              <w:top w:val="nil"/>
              <w:left w:val="nil"/>
              <w:bottom w:val="nil"/>
              <w:right w:val="nil"/>
            </w:tcBorders>
            <w:shd w:val="clear" w:color="auto" w:fill="auto"/>
            <w:noWrap/>
            <w:vAlign w:val="bottom"/>
            <w:hideMark/>
          </w:tcPr>
          <w:p w14:paraId="31ABA416" w14:textId="77777777" w:rsidR="002757F7" w:rsidRPr="002757F7" w:rsidRDefault="002757F7" w:rsidP="002757F7">
            <w:pPr>
              <w:overflowPunct/>
              <w:autoSpaceDE/>
              <w:autoSpaceDN/>
              <w:adjustRightInd/>
              <w:jc w:val="right"/>
              <w:textAlignment w:val="auto"/>
              <w:rPr>
                <w:b/>
                <w:bCs/>
                <w:sz w:val="24"/>
                <w:szCs w:val="24"/>
              </w:rPr>
            </w:pPr>
            <w:r w:rsidRPr="002757F7">
              <w:rPr>
                <w:b/>
                <w:bCs/>
                <w:sz w:val="24"/>
                <w:szCs w:val="24"/>
              </w:rPr>
              <w:t>Allowance</w:t>
            </w:r>
          </w:p>
        </w:tc>
        <w:tc>
          <w:tcPr>
            <w:tcW w:w="1545" w:type="pct"/>
            <w:tcBorders>
              <w:top w:val="nil"/>
              <w:left w:val="nil"/>
              <w:bottom w:val="nil"/>
              <w:right w:val="single" w:sz="4" w:space="0" w:color="auto"/>
            </w:tcBorders>
            <w:shd w:val="clear" w:color="000000" w:fill="CCC0DA"/>
            <w:noWrap/>
            <w:vAlign w:val="bottom"/>
            <w:hideMark/>
          </w:tcPr>
          <w:p w14:paraId="20C2BF3A" w14:textId="0AEB4387" w:rsidR="002757F7" w:rsidRPr="002757F7" w:rsidRDefault="002757F7" w:rsidP="002757F7">
            <w:pPr>
              <w:overflowPunct/>
              <w:autoSpaceDE/>
              <w:autoSpaceDN/>
              <w:adjustRightInd/>
              <w:jc w:val="right"/>
              <w:textAlignment w:val="auto"/>
              <w:rPr>
                <w:b/>
                <w:bCs/>
                <w:color w:val="C00000"/>
                <w:sz w:val="24"/>
                <w:szCs w:val="24"/>
              </w:rPr>
            </w:pPr>
            <w:r w:rsidRPr="002757F7">
              <w:rPr>
                <w:b/>
                <w:bCs/>
                <w:color w:val="C00000"/>
                <w:sz w:val="24"/>
                <w:szCs w:val="24"/>
              </w:rPr>
              <w:t xml:space="preserve">                </w:t>
            </w:r>
            <w:r w:rsidR="00C7330D">
              <w:rPr>
                <w:b/>
                <w:bCs/>
                <w:color w:val="C00000"/>
                <w:sz w:val="24"/>
                <w:szCs w:val="24"/>
              </w:rPr>
              <w:t>-</w:t>
            </w:r>
            <w:r w:rsidRPr="002757F7">
              <w:rPr>
                <w:b/>
                <w:bCs/>
                <w:color w:val="C00000"/>
                <w:sz w:val="24"/>
                <w:szCs w:val="24"/>
              </w:rPr>
              <w:t xml:space="preserve">-   </w:t>
            </w:r>
          </w:p>
        </w:tc>
      </w:tr>
      <w:tr w:rsidR="002757F7" w:rsidRPr="002757F7" w14:paraId="7B53492A" w14:textId="77777777" w:rsidTr="002E05E9">
        <w:trPr>
          <w:trHeight w:val="315"/>
        </w:trPr>
        <w:tc>
          <w:tcPr>
            <w:tcW w:w="898" w:type="pct"/>
            <w:tcBorders>
              <w:top w:val="nil"/>
              <w:left w:val="single" w:sz="4" w:space="0" w:color="auto"/>
              <w:bottom w:val="nil"/>
              <w:right w:val="nil"/>
            </w:tcBorders>
            <w:shd w:val="clear" w:color="auto" w:fill="auto"/>
            <w:noWrap/>
            <w:vAlign w:val="bottom"/>
            <w:hideMark/>
          </w:tcPr>
          <w:p w14:paraId="24A37E3E" w14:textId="77777777" w:rsidR="002757F7" w:rsidRPr="002757F7" w:rsidRDefault="002757F7" w:rsidP="002757F7">
            <w:pPr>
              <w:overflowPunct/>
              <w:autoSpaceDE/>
              <w:autoSpaceDN/>
              <w:adjustRightInd/>
              <w:jc w:val="right"/>
              <w:textAlignment w:val="auto"/>
              <w:rPr>
                <w:b/>
                <w:bCs/>
                <w:sz w:val="24"/>
                <w:szCs w:val="24"/>
              </w:rPr>
            </w:pPr>
            <w:r w:rsidRPr="002757F7">
              <w:rPr>
                <w:b/>
                <w:bCs/>
                <w:sz w:val="24"/>
                <w:szCs w:val="24"/>
              </w:rPr>
              <w:t>Rate 1</w:t>
            </w:r>
          </w:p>
        </w:tc>
        <w:tc>
          <w:tcPr>
            <w:tcW w:w="1116" w:type="pct"/>
            <w:tcBorders>
              <w:top w:val="nil"/>
              <w:left w:val="nil"/>
              <w:bottom w:val="nil"/>
              <w:right w:val="nil"/>
            </w:tcBorders>
            <w:shd w:val="clear" w:color="000000" w:fill="CCC0DA"/>
            <w:noWrap/>
            <w:vAlign w:val="bottom"/>
            <w:hideMark/>
          </w:tcPr>
          <w:p w14:paraId="2F2ED35C" w14:textId="77777777" w:rsidR="002757F7" w:rsidRPr="002757F7" w:rsidRDefault="002757F7" w:rsidP="002757F7">
            <w:pPr>
              <w:overflowPunct/>
              <w:autoSpaceDE/>
              <w:autoSpaceDN/>
              <w:adjustRightInd/>
              <w:jc w:val="right"/>
              <w:textAlignment w:val="auto"/>
              <w:rPr>
                <w:b/>
                <w:bCs/>
                <w:color w:val="C00000"/>
                <w:sz w:val="24"/>
                <w:szCs w:val="24"/>
              </w:rPr>
            </w:pPr>
            <w:r>
              <w:rPr>
                <w:b/>
                <w:bCs/>
                <w:color w:val="C00000"/>
                <w:sz w:val="24"/>
                <w:szCs w:val="24"/>
              </w:rPr>
              <w:t>$2.25</w:t>
            </w:r>
            <w:r w:rsidRPr="002757F7">
              <w:rPr>
                <w:b/>
                <w:bCs/>
                <w:color w:val="C00000"/>
                <w:sz w:val="24"/>
                <w:szCs w:val="24"/>
              </w:rPr>
              <w:t xml:space="preserve"> </w:t>
            </w:r>
          </w:p>
        </w:tc>
        <w:tc>
          <w:tcPr>
            <w:tcW w:w="1440" w:type="pct"/>
            <w:tcBorders>
              <w:top w:val="nil"/>
              <w:left w:val="nil"/>
              <w:bottom w:val="nil"/>
              <w:right w:val="nil"/>
            </w:tcBorders>
            <w:shd w:val="clear" w:color="auto" w:fill="auto"/>
            <w:noWrap/>
            <w:vAlign w:val="bottom"/>
            <w:hideMark/>
          </w:tcPr>
          <w:p w14:paraId="326F4B29" w14:textId="77777777" w:rsidR="002757F7" w:rsidRPr="002757F7" w:rsidRDefault="002757F7" w:rsidP="002757F7">
            <w:pPr>
              <w:overflowPunct/>
              <w:autoSpaceDE/>
              <w:autoSpaceDN/>
              <w:adjustRightInd/>
              <w:jc w:val="right"/>
              <w:textAlignment w:val="auto"/>
              <w:rPr>
                <w:b/>
                <w:bCs/>
                <w:sz w:val="24"/>
                <w:szCs w:val="24"/>
              </w:rPr>
            </w:pPr>
            <w:r w:rsidRPr="002757F7">
              <w:rPr>
                <w:b/>
                <w:bCs/>
                <w:sz w:val="24"/>
                <w:szCs w:val="24"/>
              </w:rPr>
              <w:t>Block 1</w:t>
            </w:r>
          </w:p>
        </w:tc>
        <w:tc>
          <w:tcPr>
            <w:tcW w:w="1545" w:type="pct"/>
            <w:tcBorders>
              <w:top w:val="nil"/>
              <w:left w:val="nil"/>
              <w:bottom w:val="nil"/>
              <w:right w:val="single" w:sz="4" w:space="0" w:color="auto"/>
            </w:tcBorders>
            <w:shd w:val="clear" w:color="000000" w:fill="CCC0DA"/>
            <w:noWrap/>
            <w:vAlign w:val="bottom"/>
            <w:hideMark/>
          </w:tcPr>
          <w:p w14:paraId="72A33C75" w14:textId="77777777" w:rsidR="002757F7" w:rsidRPr="002757F7" w:rsidRDefault="002757F7" w:rsidP="002757F7">
            <w:pPr>
              <w:overflowPunct/>
              <w:autoSpaceDE/>
              <w:autoSpaceDN/>
              <w:adjustRightInd/>
              <w:jc w:val="right"/>
              <w:textAlignment w:val="auto"/>
              <w:rPr>
                <w:b/>
                <w:bCs/>
                <w:color w:val="C00000"/>
                <w:sz w:val="24"/>
                <w:szCs w:val="24"/>
              </w:rPr>
            </w:pPr>
            <w:r w:rsidRPr="002757F7">
              <w:rPr>
                <w:b/>
                <w:bCs/>
                <w:color w:val="C00000"/>
                <w:sz w:val="24"/>
                <w:szCs w:val="24"/>
              </w:rPr>
              <w:t xml:space="preserve">          1,040 </w:t>
            </w:r>
          </w:p>
        </w:tc>
      </w:tr>
      <w:tr w:rsidR="002757F7" w:rsidRPr="002757F7" w14:paraId="4025348D" w14:textId="77777777" w:rsidTr="002E05E9">
        <w:trPr>
          <w:trHeight w:val="315"/>
        </w:trPr>
        <w:tc>
          <w:tcPr>
            <w:tcW w:w="898" w:type="pct"/>
            <w:tcBorders>
              <w:top w:val="nil"/>
              <w:left w:val="single" w:sz="4" w:space="0" w:color="auto"/>
              <w:bottom w:val="nil"/>
              <w:right w:val="nil"/>
            </w:tcBorders>
            <w:shd w:val="clear" w:color="auto" w:fill="auto"/>
            <w:noWrap/>
            <w:vAlign w:val="bottom"/>
            <w:hideMark/>
          </w:tcPr>
          <w:p w14:paraId="452AC96B" w14:textId="77777777" w:rsidR="002757F7" w:rsidRPr="002757F7" w:rsidRDefault="002757F7" w:rsidP="002757F7">
            <w:pPr>
              <w:overflowPunct/>
              <w:autoSpaceDE/>
              <w:autoSpaceDN/>
              <w:adjustRightInd/>
              <w:jc w:val="right"/>
              <w:textAlignment w:val="auto"/>
              <w:rPr>
                <w:b/>
                <w:bCs/>
                <w:sz w:val="24"/>
                <w:szCs w:val="24"/>
              </w:rPr>
            </w:pPr>
            <w:r w:rsidRPr="002757F7">
              <w:rPr>
                <w:b/>
                <w:bCs/>
                <w:sz w:val="24"/>
                <w:szCs w:val="24"/>
              </w:rPr>
              <w:t> </w:t>
            </w:r>
          </w:p>
        </w:tc>
        <w:tc>
          <w:tcPr>
            <w:tcW w:w="1116" w:type="pct"/>
            <w:tcBorders>
              <w:top w:val="nil"/>
              <w:left w:val="nil"/>
              <w:bottom w:val="nil"/>
              <w:right w:val="nil"/>
            </w:tcBorders>
            <w:shd w:val="clear" w:color="auto" w:fill="auto"/>
            <w:noWrap/>
            <w:vAlign w:val="bottom"/>
            <w:hideMark/>
          </w:tcPr>
          <w:p w14:paraId="157DDCC6" w14:textId="77777777" w:rsidR="002757F7" w:rsidRPr="002757F7" w:rsidRDefault="002757F7" w:rsidP="002757F7">
            <w:pPr>
              <w:overflowPunct/>
              <w:autoSpaceDE/>
              <w:autoSpaceDN/>
              <w:adjustRightInd/>
              <w:jc w:val="right"/>
              <w:textAlignment w:val="auto"/>
              <w:rPr>
                <w:b/>
                <w:bCs/>
                <w:sz w:val="24"/>
                <w:szCs w:val="24"/>
              </w:rPr>
            </w:pPr>
          </w:p>
        </w:tc>
        <w:tc>
          <w:tcPr>
            <w:tcW w:w="1440" w:type="pct"/>
            <w:tcBorders>
              <w:top w:val="nil"/>
              <w:left w:val="nil"/>
              <w:bottom w:val="nil"/>
              <w:right w:val="nil"/>
            </w:tcBorders>
            <w:shd w:val="clear" w:color="auto" w:fill="auto"/>
            <w:noWrap/>
            <w:vAlign w:val="bottom"/>
            <w:hideMark/>
          </w:tcPr>
          <w:p w14:paraId="188B55AC" w14:textId="77777777" w:rsidR="002757F7" w:rsidRPr="002757F7" w:rsidRDefault="002757F7" w:rsidP="002757F7">
            <w:pPr>
              <w:overflowPunct/>
              <w:autoSpaceDE/>
              <w:autoSpaceDN/>
              <w:adjustRightInd/>
              <w:jc w:val="right"/>
              <w:textAlignment w:val="auto"/>
              <w:rPr>
                <w:b/>
                <w:bCs/>
                <w:color w:val="7F7F7F"/>
                <w:sz w:val="24"/>
                <w:szCs w:val="24"/>
              </w:rPr>
            </w:pPr>
          </w:p>
        </w:tc>
        <w:tc>
          <w:tcPr>
            <w:tcW w:w="1545" w:type="pct"/>
            <w:tcBorders>
              <w:top w:val="nil"/>
              <w:left w:val="nil"/>
              <w:bottom w:val="nil"/>
              <w:right w:val="single" w:sz="4" w:space="0" w:color="auto"/>
            </w:tcBorders>
            <w:shd w:val="clear" w:color="auto" w:fill="auto"/>
            <w:noWrap/>
            <w:vAlign w:val="bottom"/>
            <w:hideMark/>
          </w:tcPr>
          <w:p w14:paraId="346274BD" w14:textId="77777777" w:rsidR="002757F7" w:rsidRPr="002757F7" w:rsidRDefault="002757F7" w:rsidP="002757F7">
            <w:pPr>
              <w:overflowPunct/>
              <w:autoSpaceDE/>
              <w:autoSpaceDN/>
              <w:adjustRightInd/>
              <w:jc w:val="right"/>
              <w:textAlignment w:val="auto"/>
              <w:rPr>
                <w:b/>
                <w:bCs/>
                <w:color w:val="7F7F7F"/>
                <w:sz w:val="24"/>
                <w:szCs w:val="24"/>
              </w:rPr>
            </w:pPr>
            <w:r w:rsidRPr="002757F7">
              <w:rPr>
                <w:b/>
                <w:bCs/>
                <w:color w:val="7F7F7F"/>
                <w:sz w:val="24"/>
                <w:szCs w:val="24"/>
              </w:rPr>
              <w:t> </w:t>
            </w:r>
          </w:p>
        </w:tc>
      </w:tr>
      <w:tr w:rsidR="002757F7" w:rsidRPr="002757F7" w14:paraId="6105FF67" w14:textId="77777777" w:rsidTr="002E05E9">
        <w:trPr>
          <w:trHeight w:val="375"/>
        </w:trPr>
        <w:tc>
          <w:tcPr>
            <w:tcW w:w="898" w:type="pct"/>
            <w:tcBorders>
              <w:top w:val="nil"/>
              <w:left w:val="single" w:sz="4" w:space="0" w:color="auto"/>
              <w:bottom w:val="nil"/>
              <w:right w:val="nil"/>
            </w:tcBorders>
            <w:shd w:val="clear" w:color="auto" w:fill="auto"/>
            <w:noWrap/>
            <w:vAlign w:val="bottom"/>
            <w:hideMark/>
          </w:tcPr>
          <w:p w14:paraId="6E5DE068" w14:textId="77777777" w:rsidR="002757F7" w:rsidRPr="002757F7" w:rsidRDefault="002757F7" w:rsidP="002757F7">
            <w:pPr>
              <w:overflowPunct/>
              <w:autoSpaceDE/>
              <w:autoSpaceDN/>
              <w:adjustRightInd/>
              <w:jc w:val="right"/>
              <w:textAlignment w:val="auto"/>
              <w:rPr>
                <w:b/>
                <w:bCs/>
                <w:sz w:val="24"/>
                <w:szCs w:val="24"/>
              </w:rPr>
            </w:pPr>
            <w:r w:rsidRPr="002757F7">
              <w:rPr>
                <w:b/>
                <w:bCs/>
                <w:sz w:val="24"/>
                <w:szCs w:val="24"/>
              </w:rPr>
              <w:t>Rate 2</w:t>
            </w:r>
          </w:p>
        </w:tc>
        <w:tc>
          <w:tcPr>
            <w:tcW w:w="1116" w:type="pct"/>
            <w:tcBorders>
              <w:top w:val="nil"/>
              <w:left w:val="nil"/>
              <w:bottom w:val="nil"/>
              <w:right w:val="nil"/>
            </w:tcBorders>
            <w:shd w:val="clear" w:color="000000" w:fill="CCC0DA"/>
            <w:noWrap/>
            <w:vAlign w:val="bottom"/>
            <w:hideMark/>
          </w:tcPr>
          <w:p w14:paraId="2276F829" w14:textId="77777777" w:rsidR="002757F7" w:rsidRPr="002757F7" w:rsidRDefault="002757F7" w:rsidP="002757F7">
            <w:pPr>
              <w:overflowPunct/>
              <w:autoSpaceDE/>
              <w:autoSpaceDN/>
              <w:adjustRightInd/>
              <w:jc w:val="right"/>
              <w:textAlignment w:val="auto"/>
              <w:rPr>
                <w:b/>
                <w:bCs/>
                <w:color w:val="C00000"/>
                <w:sz w:val="24"/>
                <w:szCs w:val="24"/>
              </w:rPr>
            </w:pPr>
            <w:r>
              <w:rPr>
                <w:b/>
                <w:bCs/>
                <w:color w:val="C00000"/>
                <w:sz w:val="24"/>
                <w:szCs w:val="24"/>
              </w:rPr>
              <w:t>2.50</w:t>
            </w:r>
          </w:p>
        </w:tc>
        <w:tc>
          <w:tcPr>
            <w:tcW w:w="1440" w:type="pct"/>
            <w:tcBorders>
              <w:top w:val="nil"/>
              <w:left w:val="nil"/>
              <w:bottom w:val="nil"/>
              <w:right w:val="nil"/>
            </w:tcBorders>
            <w:shd w:val="clear" w:color="auto" w:fill="auto"/>
            <w:noWrap/>
            <w:vAlign w:val="bottom"/>
            <w:hideMark/>
          </w:tcPr>
          <w:p w14:paraId="491AF278" w14:textId="77777777" w:rsidR="002757F7" w:rsidRPr="002757F7" w:rsidRDefault="002757F7" w:rsidP="002757F7">
            <w:pPr>
              <w:overflowPunct/>
              <w:autoSpaceDE/>
              <w:autoSpaceDN/>
              <w:adjustRightInd/>
              <w:jc w:val="right"/>
              <w:textAlignment w:val="auto"/>
              <w:rPr>
                <w:b/>
                <w:bCs/>
                <w:sz w:val="24"/>
                <w:szCs w:val="24"/>
              </w:rPr>
            </w:pPr>
            <w:r w:rsidRPr="002757F7">
              <w:rPr>
                <w:b/>
                <w:bCs/>
                <w:sz w:val="24"/>
                <w:szCs w:val="24"/>
              </w:rPr>
              <w:t>Block 2</w:t>
            </w:r>
          </w:p>
        </w:tc>
        <w:tc>
          <w:tcPr>
            <w:tcW w:w="1545" w:type="pct"/>
            <w:tcBorders>
              <w:top w:val="nil"/>
              <w:left w:val="nil"/>
              <w:bottom w:val="nil"/>
              <w:right w:val="single" w:sz="4" w:space="0" w:color="auto"/>
            </w:tcBorders>
            <w:shd w:val="clear" w:color="000000" w:fill="CCC0DA"/>
            <w:noWrap/>
            <w:vAlign w:val="bottom"/>
            <w:hideMark/>
          </w:tcPr>
          <w:p w14:paraId="29D4BA90" w14:textId="77777777" w:rsidR="002757F7" w:rsidRPr="002757F7" w:rsidRDefault="002757F7" w:rsidP="002757F7">
            <w:pPr>
              <w:overflowPunct/>
              <w:autoSpaceDE/>
              <w:autoSpaceDN/>
              <w:adjustRightInd/>
              <w:jc w:val="right"/>
              <w:textAlignment w:val="auto"/>
              <w:rPr>
                <w:b/>
                <w:bCs/>
                <w:color w:val="C00000"/>
                <w:sz w:val="24"/>
                <w:szCs w:val="24"/>
              </w:rPr>
            </w:pPr>
            <w:r>
              <w:rPr>
                <w:b/>
                <w:bCs/>
                <w:color w:val="C00000"/>
                <w:sz w:val="24"/>
                <w:szCs w:val="24"/>
              </w:rPr>
              <w:t xml:space="preserve">          2</w:t>
            </w:r>
            <w:r w:rsidRPr="002757F7">
              <w:rPr>
                <w:b/>
                <w:bCs/>
                <w:color w:val="C00000"/>
                <w:sz w:val="24"/>
                <w:szCs w:val="24"/>
              </w:rPr>
              <w:t xml:space="preserve">,040 </w:t>
            </w:r>
          </w:p>
        </w:tc>
      </w:tr>
      <w:tr w:rsidR="002757F7" w:rsidRPr="002757F7" w14:paraId="458A370C" w14:textId="77777777" w:rsidTr="002E05E9">
        <w:trPr>
          <w:trHeight w:val="315"/>
        </w:trPr>
        <w:tc>
          <w:tcPr>
            <w:tcW w:w="898" w:type="pct"/>
            <w:tcBorders>
              <w:top w:val="nil"/>
              <w:left w:val="single" w:sz="4" w:space="0" w:color="auto"/>
              <w:bottom w:val="nil"/>
              <w:right w:val="nil"/>
            </w:tcBorders>
            <w:shd w:val="clear" w:color="auto" w:fill="auto"/>
            <w:noWrap/>
            <w:vAlign w:val="bottom"/>
            <w:hideMark/>
          </w:tcPr>
          <w:p w14:paraId="3E23EB22" w14:textId="77777777" w:rsidR="002757F7" w:rsidRPr="002757F7" w:rsidRDefault="002757F7" w:rsidP="002757F7">
            <w:pPr>
              <w:overflowPunct/>
              <w:autoSpaceDE/>
              <w:autoSpaceDN/>
              <w:adjustRightInd/>
              <w:jc w:val="right"/>
              <w:textAlignment w:val="auto"/>
              <w:rPr>
                <w:b/>
                <w:bCs/>
                <w:sz w:val="24"/>
                <w:szCs w:val="24"/>
              </w:rPr>
            </w:pPr>
            <w:r w:rsidRPr="002757F7">
              <w:rPr>
                <w:b/>
                <w:bCs/>
                <w:sz w:val="24"/>
                <w:szCs w:val="24"/>
              </w:rPr>
              <w:t> </w:t>
            </w:r>
          </w:p>
        </w:tc>
        <w:tc>
          <w:tcPr>
            <w:tcW w:w="1116" w:type="pct"/>
            <w:tcBorders>
              <w:top w:val="nil"/>
              <w:left w:val="nil"/>
              <w:bottom w:val="nil"/>
              <w:right w:val="nil"/>
            </w:tcBorders>
            <w:shd w:val="clear" w:color="auto" w:fill="auto"/>
            <w:noWrap/>
            <w:vAlign w:val="bottom"/>
            <w:hideMark/>
          </w:tcPr>
          <w:p w14:paraId="03005398" w14:textId="77777777" w:rsidR="002757F7" w:rsidRPr="002757F7" w:rsidRDefault="002757F7" w:rsidP="002757F7">
            <w:pPr>
              <w:overflowPunct/>
              <w:autoSpaceDE/>
              <w:autoSpaceDN/>
              <w:adjustRightInd/>
              <w:jc w:val="right"/>
              <w:textAlignment w:val="auto"/>
              <w:rPr>
                <w:b/>
                <w:bCs/>
                <w:sz w:val="24"/>
                <w:szCs w:val="24"/>
              </w:rPr>
            </w:pPr>
          </w:p>
        </w:tc>
        <w:tc>
          <w:tcPr>
            <w:tcW w:w="1440" w:type="pct"/>
            <w:tcBorders>
              <w:top w:val="nil"/>
              <w:left w:val="nil"/>
              <w:bottom w:val="nil"/>
              <w:right w:val="nil"/>
            </w:tcBorders>
            <w:shd w:val="clear" w:color="auto" w:fill="auto"/>
            <w:noWrap/>
            <w:vAlign w:val="bottom"/>
            <w:hideMark/>
          </w:tcPr>
          <w:p w14:paraId="3E939256" w14:textId="77777777" w:rsidR="002757F7" w:rsidRPr="002757F7" w:rsidRDefault="002757F7" w:rsidP="002757F7">
            <w:pPr>
              <w:overflowPunct/>
              <w:autoSpaceDE/>
              <w:autoSpaceDN/>
              <w:adjustRightInd/>
              <w:jc w:val="right"/>
              <w:textAlignment w:val="auto"/>
              <w:rPr>
                <w:b/>
                <w:bCs/>
                <w:sz w:val="24"/>
                <w:szCs w:val="24"/>
              </w:rPr>
            </w:pPr>
          </w:p>
        </w:tc>
        <w:tc>
          <w:tcPr>
            <w:tcW w:w="1545" w:type="pct"/>
            <w:tcBorders>
              <w:top w:val="nil"/>
              <w:left w:val="nil"/>
              <w:bottom w:val="nil"/>
              <w:right w:val="single" w:sz="4" w:space="0" w:color="auto"/>
            </w:tcBorders>
            <w:shd w:val="clear" w:color="auto" w:fill="auto"/>
            <w:noWrap/>
            <w:vAlign w:val="bottom"/>
            <w:hideMark/>
          </w:tcPr>
          <w:p w14:paraId="3E61B5DA" w14:textId="77777777" w:rsidR="002757F7" w:rsidRPr="002757F7" w:rsidRDefault="002757F7" w:rsidP="002757F7">
            <w:pPr>
              <w:overflowPunct/>
              <w:autoSpaceDE/>
              <w:autoSpaceDN/>
              <w:adjustRightInd/>
              <w:jc w:val="right"/>
              <w:textAlignment w:val="auto"/>
              <w:rPr>
                <w:b/>
                <w:bCs/>
                <w:sz w:val="24"/>
                <w:szCs w:val="24"/>
              </w:rPr>
            </w:pPr>
            <w:r w:rsidRPr="002757F7">
              <w:rPr>
                <w:b/>
                <w:bCs/>
                <w:sz w:val="24"/>
                <w:szCs w:val="24"/>
              </w:rPr>
              <w:t> </w:t>
            </w:r>
          </w:p>
        </w:tc>
      </w:tr>
      <w:tr w:rsidR="002757F7" w:rsidRPr="002757F7" w14:paraId="1D07220D" w14:textId="77777777" w:rsidTr="002E05E9">
        <w:trPr>
          <w:trHeight w:val="315"/>
        </w:trPr>
        <w:tc>
          <w:tcPr>
            <w:tcW w:w="898" w:type="pct"/>
            <w:tcBorders>
              <w:top w:val="nil"/>
              <w:left w:val="single" w:sz="4" w:space="0" w:color="auto"/>
              <w:bottom w:val="single" w:sz="4" w:space="0" w:color="auto"/>
              <w:right w:val="nil"/>
            </w:tcBorders>
            <w:shd w:val="clear" w:color="auto" w:fill="auto"/>
            <w:noWrap/>
            <w:vAlign w:val="bottom"/>
            <w:hideMark/>
          </w:tcPr>
          <w:p w14:paraId="626EB2CE" w14:textId="77777777" w:rsidR="002757F7" w:rsidRPr="002757F7" w:rsidRDefault="002757F7" w:rsidP="002757F7">
            <w:pPr>
              <w:overflowPunct/>
              <w:autoSpaceDE/>
              <w:autoSpaceDN/>
              <w:adjustRightInd/>
              <w:jc w:val="right"/>
              <w:textAlignment w:val="auto"/>
              <w:rPr>
                <w:b/>
                <w:bCs/>
                <w:sz w:val="24"/>
                <w:szCs w:val="24"/>
              </w:rPr>
            </w:pPr>
            <w:r w:rsidRPr="002757F7">
              <w:rPr>
                <w:b/>
                <w:bCs/>
                <w:sz w:val="24"/>
                <w:szCs w:val="24"/>
              </w:rPr>
              <w:t>Rate 3</w:t>
            </w:r>
          </w:p>
        </w:tc>
        <w:tc>
          <w:tcPr>
            <w:tcW w:w="1116" w:type="pct"/>
            <w:tcBorders>
              <w:top w:val="nil"/>
              <w:left w:val="nil"/>
              <w:bottom w:val="single" w:sz="4" w:space="0" w:color="auto"/>
              <w:right w:val="nil"/>
            </w:tcBorders>
            <w:shd w:val="clear" w:color="000000" w:fill="CCC0DA"/>
            <w:noWrap/>
            <w:vAlign w:val="bottom"/>
            <w:hideMark/>
          </w:tcPr>
          <w:p w14:paraId="4BCE74CF" w14:textId="77777777" w:rsidR="002757F7" w:rsidRPr="002757F7" w:rsidRDefault="002757F7" w:rsidP="002757F7">
            <w:pPr>
              <w:overflowPunct/>
              <w:autoSpaceDE/>
              <w:autoSpaceDN/>
              <w:adjustRightInd/>
              <w:jc w:val="right"/>
              <w:textAlignment w:val="auto"/>
              <w:rPr>
                <w:b/>
                <w:bCs/>
                <w:color w:val="C00000"/>
                <w:sz w:val="24"/>
                <w:szCs w:val="24"/>
              </w:rPr>
            </w:pPr>
            <w:r>
              <w:rPr>
                <w:b/>
                <w:bCs/>
                <w:color w:val="C00000"/>
                <w:sz w:val="24"/>
                <w:szCs w:val="24"/>
              </w:rPr>
              <w:t>$2.75</w:t>
            </w:r>
            <w:r w:rsidRPr="002757F7">
              <w:rPr>
                <w:b/>
                <w:bCs/>
                <w:color w:val="C00000"/>
                <w:sz w:val="24"/>
                <w:szCs w:val="24"/>
              </w:rPr>
              <w:t xml:space="preserve"> </w:t>
            </w:r>
          </w:p>
        </w:tc>
        <w:tc>
          <w:tcPr>
            <w:tcW w:w="1440" w:type="pct"/>
            <w:tcBorders>
              <w:top w:val="nil"/>
              <w:left w:val="nil"/>
              <w:bottom w:val="single" w:sz="4" w:space="0" w:color="auto"/>
              <w:right w:val="nil"/>
            </w:tcBorders>
            <w:shd w:val="clear" w:color="auto" w:fill="auto"/>
            <w:noWrap/>
            <w:vAlign w:val="bottom"/>
            <w:hideMark/>
          </w:tcPr>
          <w:p w14:paraId="4A63F939" w14:textId="77777777" w:rsidR="002757F7" w:rsidRPr="002757F7" w:rsidRDefault="002757F7" w:rsidP="002757F7">
            <w:pPr>
              <w:overflowPunct/>
              <w:autoSpaceDE/>
              <w:autoSpaceDN/>
              <w:adjustRightInd/>
              <w:jc w:val="right"/>
              <w:textAlignment w:val="auto"/>
              <w:rPr>
                <w:b/>
                <w:bCs/>
                <w:sz w:val="24"/>
                <w:szCs w:val="24"/>
              </w:rPr>
            </w:pPr>
            <w:r w:rsidRPr="002757F7">
              <w:rPr>
                <w:b/>
                <w:bCs/>
                <w:sz w:val="24"/>
                <w:szCs w:val="24"/>
              </w:rPr>
              <w:t>Block 3</w:t>
            </w:r>
          </w:p>
        </w:tc>
        <w:tc>
          <w:tcPr>
            <w:tcW w:w="1545" w:type="pct"/>
            <w:tcBorders>
              <w:top w:val="nil"/>
              <w:left w:val="nil"/>
              <w:bottom w:val="single" w:sz="4" w:space="0" w:color="auto"/>
              <w:right w:val="single" w:sz="4" w:space="0" w:color="auto"/>
            </w:tcBorders>
            <w:shd w:val="clear" w:color="000000" w:fill="CCC0DA"/>
            <w:noWrap/>
            <w:vAlign w:val="bottom"/>
            <w:hideMark/>
          </w:tcPr>
          <w:p w14:paraId="785CD93E" w14:textId="77777777" w:rsidR="002757F7" w:rsidRPr="002757F7" w:rsidRDefault="002757F7" w:rsidP="002757F7">
            <w:pPr>
              <w:overflowPunct/>
              <w:autoSpaceDE/>
              <w:autoSpaceDN/>
              <w:adjustRightInd/>
              <w:jc w:val="right"/>
              <w:textAlignment w:val="auto"/>
              <w:rPr>
                <w:b/>
                <w:bCs/>
                <w:color w:val="C00000"/>
                <w:sz w:val="24"/>
                <w:szCs w:val="24"/>
              </w:rPr>
            </w:pPr>
            <w:r>
              <w:rPr>
                <w:b/>
                <w:bCs/>
                <w:color w:val="C00000"/>
                <w:sz w:val="24"/>
                <w:szCs w:val="24"/>
              </w:rPr>
              <w:t xml:space="preserve">          2</w:t>
            </w:r>
            <w:r w:rsidRPr="002757F7">
              <w:rPr>
                <w:b/>
                <w:bCs/>
                <w:color w:val="C00000"/>
                <w:sz w:val="24"/>
                <w:szCs w:val="24"/>
              </w:rPr>
              <w:t xml:space="preserve">,041 </w:t>
            </w:r>
          </w:p>
        </w:tc>
      </w:tr>
    </w:tbl>
    <w:p w14:paraId="35B21062" w14:textId="77777777" w:rsidR="00E55C4F" w:rsidRPr="006D0665" w:rsidRDefault="004D0EE2" w:rsidP="00E55C4F">
      <w:pPr>
        <w:pStyle w:val="Heading3"/>
        <w:ind w:left="720" w:hanging="720"/>
      </w:pPr>
      <w:bookmarkStart w:id="43" w:name="_Toc477173652"/>
      <w:r>
        <w:t>3</w:t>
      </w:r>
      <w:r w:rsidR="00E55C4F" w:rsidRPr="006D0665">
        <w:t>.</w:t>
      </w:r>
      <w:r w:rsidR="00E55C4F">
        <w:t>2</w:t>
      </w:r>
      <w:r w:rsidR="00E55C4F" w:rsidRPr="006D0665">
        <w:t>.</w:t>
      </w:r>
      <w:r w:rsidR="00E55C4F">
        <w:t>3</w:t>
      </w:r>
      <w:r w:rsidR="00E55C4F" w:rsidRPr="006D0665">
        <w:tab/>
      </w:r>
      <w:r w:rsidR="00E55C4F">
        <w:t>Distress Model and Other Ratios</w:t>
      </w:r>
      <w:r w:rsidR="00D20E46">
        <w:t xml:space="preserve"> </w:t>
      </w:r>
      <w:r w:rsidR="00D20E46" w:rsidRPr="00B00B0D">
        <w:rPr>
          <w:b w:val="0"/>
        </w:rPr>
        <w:t>– Section 1</w:t>
      </w:r>
      <w:r w:rsidR="009C2521">
        <w:rPr>
          <w:b w:val="0"/>
        </w:rPr>
        <w:t>1</w:t>
      </w:r>
      <w:bookmarkEnd w:id="43"/>
    </w:p>
    <w:p w14:paraId="0B2B5A45" w14:textId="77777777" w:rsidR="00E55C4F" w:rsidRDefault="00E55C4F" w:rsidP="00E55C4F"/>
    <w:p w14:paraId="1932B44D" w14:textId="1B711C39" w:rsidR="00E9392D" w:rsidRDefault="00E55C4F" w:rsidP="00E55C4F">
      <w:r w:rsidRPr="002E05E9">
        <w:t xml:space="preserve">The </w:t>
      </w:r>
      <w:r w:rsidR="002E05E9">
        <w:t xml:space="preserve">distress model </w:t>
      </w:r>
      <w:r w:rsidRPr="002E05E9">
        <w:t>calculate</w:t>
      </w:r>
      <w:r w:rsidR="00947BA4">
        <w:t>s</w:t>
      </w:r>
      <w:r w:rsidRPr="002E05E9">
        <w:t xml:space="preserve"> the impact of the </w:t>
      </w:r>
      <w:r w:rsidR="002E05E9">
        <w:t xml:space="preserve">company’s decisions </w:t>
      </w:r>
      <w:r w:rsidR="00E9392D">
        <w:t xml:space="preserve">and its effect on </w:t>
      </w:r>
      <w:r w:rsidR="002E05E9">
        <w:t>operation</w:t>
      </w:r>
      <w:r w:rsidR="00E9392D">
        <w:t>s</w:t>
      </w:r>
      <w:r w:rsidR="002E05E9">
        <w:t xml:space="preserve"> both before and after the general rate case and give it a </w:t>
      </w:r>
      <w:r w:rsidR="000A782E">
        <w:t xml:space="preserve">rating </w:t>
      </w:r>
      <w:r w:rsidR="002E05E9">
        <w:t>of “distressed”, “w</w:t>
      </w:r>
      <w:r w:rsidR="00E9392D">
        <w:t xml:space="preserve">eak to marginal”, or “viable”. The other ratios calculate and show different </w:t>
      </w:r>
      <w:r w:rsidR="00947BA4">
        <w:t xml:space="preserve">performance </w:t>
      </w:r>
      <w:r w:rsidR="00E9392D">
        <w:t>measure</w:t>
      </w:r>
      <w:r w:rsidR="00947BA4">
        <w:t>s</w:t>
      </w:r>
      <w:r w:rsidR="00E9392D">
        <w:t xml:space="preserve"> that most successful companies use to make investment and operational decisions.</w:t>
      </w:r>
    </w:p>
    <w:p w14:paraId="493BC065" w14:textId="77777777" w:rsidR="00E9392D" w:rsidRDefault="00E9392D" w:rsidP="00E55C4F"/>
    <w:p w14:paraId="1450B50A" w14:textId="5D5481DC" w:rsidR="002E05E9" w:rsidRDefault="002E05E9" w:rsidP="00E55C4F">
      <w:r>
        <w:t xml:space="preserve">The distress model, along with, the other ratios are to help the company see where management </w:t>
      </w:r>
      <w:r w:rsidR="00E9392D">
        <w:t xml:space="preserve">can </w:t>
      </w:r>
      <w:r>
        <w:t xml:space="preserve">improve the </w:t>
      </w:r>
      <w:r w:rsidR="00E9392D">
        <w:t xml:space="preserve">company’s </w:t>
      </w:r>
      <w:r>
        <w:t>situation.</w:t>
      </w:r>
    </w:p>
    <w:p w14:paraId="773E0C02" w14:textId="77777777" w:rsidR="000A782E" w:rsidRDefault="000A782E" w:rsidP="00E55C4F"/>
    <w:p w14:paraId="225F9E97" w14:textId="2A918A81" w:rsidR="009C2521" w:rsidRDefault="009C2521" w:rsidP="00E55C4F">
      <w:r>
        <w:t xml:space="preserve">For a more complete </w:t>
      </w:r>
      <w:r w:rsidR="000A782E">
        <w:t>explanation</w:t>
      </w:r>
      <w:r>
        <w:t xml:space="preserve"> and source </w:t>
      </w:r>
      <w:r w:rsidR="00D22C48">
        <w:t>document,</w:t>
      </w:r>
      <w:r>
        <w:t xml:space="preserve"> please see </w:t>
      </w:r>
      <w:r w:rsidR="00941044">
        <w:t xml:space="preserve">The National Regulatory Research Institute, July 1997, </w:t>
      </w:r>
      <w:r w:rsidR="00941044" w:rsidRPr="00941044">
        <w:rPr>
          <w:i/>
        </w:rPr>
        <w:t>Evaluation</w:t>
      </w:r>
      <w:r w:rsidR="00941044" w:rsidRPr="00343C9C">
        <w:rPr>
          <w:i/>
        </w:rPr>
        <w:t xml:space="preserve"> Water Utility Capacity with Ratio Analysis and Discounted Cash Flows.</w:t>
      </w:r>
    </w:p>
    <w:p w14:paraId="4953D60E" w14:textId="77777777" w:rsidR="00484D0B" w:rsidRDefault="004D0EE2" w:rsidP="006A7573">
      <w:pPr>
        <w:pStyle w:val="Heading2"/>
      </w:pPr>
      <w:bookmarkStart w:id="44" w:name="_Toc477173653"/>
      <w:r>
        <w:t>3</w:t>
      </w:r>
      <w:r w:rsidR="00C44DBC">
        <w:t>.</w:t>
      </w:r>
      <w:r w:rsidR="00DA7422">
        <w:t>3</w:t>
      </w:r>
      <w:r w:rsidR="00C44DBC">
        <w:tab/>
        <w:t>Special Instructions for Error Correction</w:t>
      </w:r>
      <w:bookmarkEnd w:id="44"/>
    </w:p>
    <w:p w14:paraId="3047B0B4" w14:textId="77777777" w:rsidR="00484D0B" w:rsidRDefault="00484D0B" w:rsidP="006A7573"/>
    <w:p w14:paraId="4952A628" w14:textId="4CF77BDB" w:rsidR="00484D0B" w:rsidRDefault="005101E4" w:rsidP="006A7573">
      <w:r w:rsidRPr="005101E4">
        <w:t xml:space="preserve">For troubleshooting </w:t>
      </w:r>
      <w:r>
        <w:t>errors</w:t>
      </w:r>
      <w:r w:rsidRPr="005101E4">
        <w:t xml:space="preserve">, contact </w:t>
      </w:r>
      <w:r w:rsidR="007345A2">
        <w:t xml:space="preserve">regulatory services, </w:t>
      </w:r>
      <w:r w:rsidR="00947BA4">
        <w:t>Wa</w:t>
      </w:r>
      <w:r w:rsidR="007345A2">
        <w:t>ter</w:t>
      </w:r>
      <w:r w:rsidR="00947BA4">
        <w:t xml:space="preserve"> and Transportation section</w:t>
      </w:r>
      <w:r w:rsidR="007345A2">
        <w:t>, (360) 664-1</w:t>
      </w:r>
      <w:r w:rsidR="00941044">
        <w:t>300</w:t>
      </w:r>
      <w:r w:rsidR="002921FD">
        <w:t>,</w:t>
      </w:r>
      <w:r w:rsidR="007345A2">
        <w:t xml:space="preserve"> to talk with </w:t>
      </w:r>
      <w:r w:rsidR="002921FD">
        <w:t xml:space="preserve">regulatory </w:t>
      </w:r>
      <w:r w:rsidR="007345A2">
        <w:t>staff.</w:t>
      </w:r>
      <w:r w:rsidR="002921FD">
        <w:t xml:space="preserve"> </w:t>
      </w:r>
      <w:r>
        <w:t xml:space="preserve">Please be ready to </w:t>
      </w:r>
      <w:r w:rsidR="00597C2F">
        <w:t xml:space="preserve">provide a copy of the workbook and </w:t>
      </w:r>
      <w:r>
        <w:t>d</w:t>
      </w:r>
      <w:r w:rsidR="00C44DBC">
        <w:t xml:space="preserve">escribe all </w:t>
      </w:r>
      <w:r>
        <w:t>e</w:t>
      </w:r>
      <w:r w:rsidR="00C44DBC">
        <w:t xml:space="preserve">rror </w:t>
      </w:r>
      <w:r>
        <w:t>c</w:t>
      </w:r>
      <w:r w:rsidR="00C44DBC">
        <w:t>onditions</w:t>
      </w:r>
      <w:r w:rsidR="00947BA4">
        <w:t xml:space="preserve"> so s</w:t>
      </w:r>
      <w:r>
        <w:t xml:space="preserve">taff will be able to give </w:t>
      </w:r>
      <w:r w:rsidR="00C44DBC">
        <w:t>corrective actions.</w:t>
      </w:r>
    </w:p>
    <w:p w14:paraId="02BD324A" w14:textId="77777777" w:rsidR="00484D0B" w:rsidRDefault="004D0EE2" w:rsidP="006A7573">
      <w:pPr>
        <w:pStyle w:val="Heading2"/>
      </w:pPr>
      <w:bookmarkStart w:id="45" w:name="_Toc477173654"/>
      <w:r>
        <w:t>3</w:t>
      </w:r>
      <w:r w:rsidR="00DA7422">
        <w:t>.4</w:t>
      </w:r>
      <w:r w:rsidR="00C44DBC">
        <w:tab/>
        <w:t>Caveats and Exceptions</w:t>
      </w:r>
      <w:bookmarkEnd w:id="45"/>
    </w:p>
    <w:p w14:paraId="2F3EE79F" w14:textId="77777777" w:rsidR="00484D0B" w:rsidRDefault="00484D0B" w:rsidP="006A7573"/>
    <w:p w14:paraId="1B489516" w14:textId="4D57530E" w:rsidR="002757F7" w:rsidRDefault="00947BA4" w:rsidP="006A7573">
      <w:r>
        <w:t>Y</w:t>
      </w:r>
      <w:r w:rsidR="00A73DCB">
        <w:t>ou should have a revenue requirement and an inclining 3-block rate design</w:t>
      </w:r>
      <w:r w:rsidR="002921FD">
        <w:t xml:space="preserve">. </w:t>
      </w:r>
      <w:r w:rsidR="00A73DCB">
        <w:t xml:space="preserve">If both of these conditions are </w:t>
      </w:r>
      <w:r w:rsidR="002757F7">
        <w:t xml:space="preserve">true, move onto the next section of this manual, if </w:t>
      </w:r>
      <w:r w:rsidR="00A73DCB">
        <w:t xml:space="preserve">not, </w:t>
      </w:r>
      <w:r w:rsidR="002757F7">
        <w:t>keep reading this section of the manual.</w:t>
      </w:r>
    </w:p>
    <w:p w14:paraId="4A8C1AB3" w14:textId="77777777" w:rsidR="002757F7" w:rsidRDefault="002757F7" w:rsidP="006A7573"/>
    <w:p w14:paraId="7BE91738" w14:textId="77777777" w:rsidR="00A73DCB" w:rsidRDefault="00A73DCB" w:rsidP="006A7573">
      <w:r>
        <w:t>If the revenue requirement shows a decrease,</w:t>
      </w:r>
      <w:r w:rsidR="002757F7">
        <w:t xml:space="preserve"> this could mean two things:</w:t>
      </w:r>
    </w:p>
    <w:p w14:paraId="382CC983" w14:textId="77777777" w:rsidR="004D0EE2" w:rsidRDefault="004D0EE2" w:rsidP="006A7573"/>
    <w:p w14:paraId="293B7E55" w14:textId="77777777" w:rsidR="002757F7" w:rsidRDefault="002757F7" w:rsidP="002757F7">
      <w:pPr>
        <w:pStyle w:val="ListParagraph"/>
        <w:numPr>
          <w:ilvl w:val="0"/>
          <w:numId w:val="18"/>
        </w:numPr>
      </w:pPr>
      <w:r>
        <w:t>Data was incorrectly entered on the “input” tab, or</w:t>
      </w:r>
    </w:p>
    <w:p w14:paraId="6A6A5140" w14:textId="77777777" w:rsidR="002757F7" w:rsidRDefault="002757F7" w:rsidP="002757F7">
      <w:pPr>
        <w:pStyle w:val="ListParagraph"/>
      </w:pPr>
    </w:p>
    <w:p w14:paraId="0BBC044E" w14:textId="77777777" w:rsidR="002757F7" w:rsidRDefault="002757F7" w:rsidP="002757F7">
      <w:pPr>
        <w:pStyle w:val="ListParagraph"/>
        <w:numPr>
          <w:ilvl w:val="0"/>
          <w:numId w:val="18"/>
        </w:numPr>
      </w:pPr>
      <w:r>
        <w:t>The company does not meet the criteria for a rate increase at this time.</w:t>
      </w:r>
    </w:p>
    <w:p w14:paraId="46FDE812" w14:textId="77777777" w:rsidR="00A73DCB" w:rsidRDefault="00A73DCB" w:rsidP="006A7573"/>
    <w:p w14:paraId="37BCBE95" w14:textId="0EECE8F6" w:rsidR="00484D0B" w:rsidRDefault="00947BA4" w:rsidP="006A7573">
      <w:r>
        <w:t>If the rate design does not show a reasonable three-block rate design, c</w:t>
      </w:r>
      <w:r w:rsidR="005575A6">
        <w:t xml:space="preserve">ontact the regulatory staff. This </w:t>
      </w:r>
      <w:r w:rsidR="00025B93">
        <w:t>workbook</w:t>
      </w:r>
      <w:r>
        <w:t xml:space="preserve"> has hardcoded percentages and overrides that are not available to the company</w:t>
      </w:r>
      <w:r w:rsidR="005575A6">
        <w:t>. Staff will work with you, and assist in determining the best rate design.</w:t>
      </w:r>
    </w:p>
    <w:p w14:paraId="5EE83743" w14:textId="77777777" w:rsidR="00484D0B" w:rsidRDefault="00484D0B" w:rsidP="006A7573"/>
    <w:p w14:paraId="0D9CFD14" w14:textId="77777777" w:rsidR="00A61763" w:rsidRDefault="00A61763" w:rsidP="00A61763"/>
    <w:p w14:paraId="5AA5A5C8" w14:textId="77777777" w:rsidR="00A61763" w:rsidRDefault="00A61763" w:rsidP="00A61763"/>
    <w:p w14:paraId="1FD5C85E" w14:textId="77777777" w:rsidR="00A61763" w:rsidRDefault="00A61763" w:rsidP="00A61763"/>
    <w:p w14:paraId="67748866" w14:textId="77777777" w:rsidR="00A61763" w:rsidRDefault="00A61763" w:rsidP="00A61763"/>
    <w:p w14:paraId="7CA1B17A" w14:textId="77777777" w:rsidR="00A61763" w:rsidRDefault="00A61763" w:rsidP="00A61763"/>
    <w:p w14:paraId="6222A242" w14:textId="77777777" w:rsidR="00A61763" w:rsidRDefault="00A61763" w:rsidP="00A61763"/>
    <w:p w14:paraId="65B7B170" w14:textId="77777777" w:rsidR="00A61763" w:rsidRDefault="00A61763" w:rsidP="00A61763"/>
    <w:p w14:paraId="531F125E" w14:textId="77777777" w:rsidR="00A61763" w:rsidRDefault="00A61763" w:rsidP="00A61763"/>
    <w:p w14:paraId="6A108393" w14:textId="77777777" w:rsidR="00A61763" w:rsidRDefault="00A61763" w:rsidP="00A61763"/>
    <w:p w14:paraId="1694A008" w14:textId="77777777" w:rsidR="00A61763" w:rsidRDefault="00A61763" w:rsidP="00A61763"/>
    <w:p w14:paraId="5ECC0F86" w14:textId="77777777" w:rsidR="00A61763" w:rsidRDefault="00A61763" w:rsidP="00A61763"/>
    <w:p w14:paraId="557C5F7F" w14:textId="77777777" w:rsidR="00A61763" w:rsidRDefault="00A61763" w:rsidP="00A61763"/>
    <w:p w14:paraId="1F68607B" w14:textId="77777777" w:rsidR="00A61763" w:rsidRDefault="00A61763" w:rsidP="00A61763"/>
    <w:p w14:paraId="024A2441" w14:textId="77777777" w:rsidR="00A61763" w:rsidRDefault="00A61763" w:rsidP="00A61763"/>
    <w:p w14:paraId="715D95B8" w14:textId="77777777" w:rsidR="00A61763" w:rsidRDefault="00A61763" w:rsidP="00A61763"/>
    <w:p w14:paraId="2E45B852" w14:textId="77777777" w:rsidR="00A61763" w:rsidRDefault="00A61763" w:rsidP="00A61763"/>
    <w:p w14:paraId="43BCF1BD" w14:textId="77777777" w:rsidR="00A61763" w:rsidRDefault="00A61763" w:rsidP="00A61763"/>
    <w:p w14:paraId="4292B23B" w14:textId="77777777" w:rsidR="00A61763" w:rsidRDefault="00A61763" w:rsidP="00A61763"/>
    <w:p w14:paraId="10CC61B8" w14:textId="77777777" w:rsidR="00A61763" w:rsidRDefault="00A61763" w:rsidP="00A61763"/>
    <w:p w14:paraId="0BCD92FC" w14:textId="77777777" w:rsidR="00A61763" w:rsidRDefault="00A61763" w:rsidP="00A61763"/>
    <w:p w14:paraId="688C776E" w14:textId="77777777" w:rsidR="00A61763" w:rsidRDefault="00A61763" w:rsidP="00A61763"/>
    <w:p w14:paraId="6FCEA567" w14:textId="77777777" w:rsidR="00A61763" w:rsidRDefault="00A61763" w:rsidP="00A61763"/>
    <w:p w14:paraId="65AC5694" w14:textId="77777777" w:rsidR="00A61763" w:rsidRDefault="00A61763" w:rsidP="00A61763"/>
    <w:p w14:paraId="1F8256D7" w14:textId="77777777" w:rsidR="00A61763" w:rsidRDefault="004D0EE2" w:rsidP="00A61763">
      <w:pPr>
        <w:jc w:val="right"/>
      </w:pPr>
      <w:r>
        <w:rPr>
          <w:rFonts w:ascii="Arial" w:hAnsi="Arial"/>
          <w:b/>
          <w:sz w:val="28"/>
        </w:rPr>
        <w:t>4</w:t>
      </w:r>
      <w:r w:rsidR="00A61763">
        <w:rPr>
          <w:rFonts w:ascii="Arial" w:hAnsi="Arial"/>
          <w:b/>
          <w:sz w:val="28"/>
        </w:rPr>
        <w:t>.0</w:t>
      </w:r>
      <w:r w:rsidR="00A61763">
        <w:rPr>
          <w:rFonts w:ascii="Arial" w:hAnsi="Arial"/>
          <w:b/>
          <w:sz w:val="28"/>
        </w:rPr>
        <w:tab/>
        <w:t>FILING A GENERAL RATE CASE</w:t>
      </w:r>
    </w:p>
    <w:p w14:paraId="664A3F3C" w14:textId="77777777" w:rsidR="00A61763" w:rsidRDefault="00A61763" w:rsidP="00A61763">
      <w:pPr>
        <w:sectPr w:rsidR="00A61763" w:rsidSect="00EF669E">
          <w:headerReference w:type="default" r:id="rId32"/>
          <w:footerReference w:type="default" r:id="rId33"/>
          <w:pgSz w:w="12240" w:h="15840"/>
          <w:pgMar w:top="1440" w:right="1440" w:bottom="1296" w:left="1440" w:header="720" w:footer="720" w:gutter="0"/>
          <w:pgNumType w:start="1" w:chapStyle="1"/>
          <w:cols w:space="720"/>
        </w:sectPr>
      </w:pPr>
    </w:p>
    <w:p w14:paraId="4968C56D" w14:textId="77777777" w:rsidR="00A61763" w:rsidRDefault="0069735A" w:rsidP="00A61763">
      <w:pPr>
        <w:pStyle w:val="Heading1"/>
      </w:pPr>
      <w:bookmarkStart w:id="46" w:name="_Toc477173655"/>
      <w:r>
        <w:lastRenderedPageBreak/>
        <w:t>FILING A GENERAL RATE CASE</w:t>
      </w:r>
      <w:bookmarkEnd w:id="46"/>
    </w:p>
    <w:p w14:paraId="536ABE43" w14:textId="77777777" w:rsidR="00A61763" w:rsidRDefault="00A61763" w:rsidP="00A61763"/>
    <w:p w14:paraId="6A4E55FB" w14:textId="2C7B50A1" w:rsidR="00A61763" w:rsidRPr="00142F8F" w:rsidRDefault="00A61763" w:rsidP="00A61763">
      <w:r w:rsidRPr="00142F8F">
        <w:t>This section describes and depicts all standard</w:t>
      </w:r>
      <w:r w:rsidR="00142F8F">
        <w:t>s</w:t>
      </w:r>
      <w:r w:rsidRPr="00142F8F">
        <w:t xml:space="preserve"> </w:t>
      </w:r>
      <w:r w:rsidR="00142F8F">
        <w:t>for a general rate increase filing by water companies and what information must be included.</w:t>
      </w:r>
      <w:r w:rsidR="0088248C">
        <w:t xml:space="preserve"> If the company files by electronic means please refer to </w:t>
      </w:r>
      <w:r w:rsidR="00CC390D" w:rsidRPr="00EE7203">
        <w:t>WAC 480-07-</w:t>
      </w:r>
      <w:r w:rsidR="00CC390D">
        <w:t>140</w:t>
      </w:r>
      <w:r w:rsidR="0088248C">
        <w:t xml:space="preserve"> and </w:t>
      </w:r>
      <w:hyperlink r:id="rId34" w:history="1">
        <w:r w:rsidR="0088248C" w:rsidRPr="00271652">
          <w:rPr>
            <w:rStyle w:val="Hyperlink"/>
          </w:rPr>
          <w:t>http://www.utc.wa.gov/docs/Pages/howToFile.aspx</w:t>
        </w:r>
      </w:hyperlink>
      <w:r w:rsidR="0088248C">
        <w:t xml:space="preserve"> for more detailed examples.</w:t>
      </w:r>
    </w:p>
    <w:p w14:paraId="5A4567E8" w14:textId="77777777" w:rsidR="00A61763" w:rsidRDefault="004D0EE2" w:rsidP="00A61763">
      <w:pPr>
        <w:pStyle w:val="Heading2"/>
      </w:pPr>
      <w:bookmarkStart w:id="47" w:name="_Toc477173656"/>
      <w:r>
        <w:t>4</w:t>
      </w:r>
      <w:r w:rsidR="00A61763">
        <w:t>.1</w:t>
      </w:r>
      <w:r w:rsidR="00A61763">
        <w:tab/>
      </w:r>
      <w:r w:rsidR="0069735A">
        <w:t>General Rate Case Statue</w:t>
      </w:r>
      <w:r w:rsidR="00142F8F">
        <w:t xml:space="preserve"> and Required Information</w:t>
      </w:r>
      <w:bookmarkEnd w:id="47"/>
    </w:p>
    <w:p w14:paraId="33B0146F" w14:textId="77777777" w:rsidR="00A61763" w:rsidRDefault="00A61763" w:rsidP="00A61763"/>
    <w:p w14:paraId="050CC869" w14:textId="77777777" w:rsidR="00A61763" w:rsidRDefault="00142F8F" w:rsidP="00A61763">
      <w:r>
        <w:t xml:space="preserve">Under </w:t>
      </w:r>
      <w:hyperlink r:id="rId35" w:history="1">
        <w:r w:rsidRPr="00142F8F">
          <w:rPr>
            <w:rStyle w:val="Hyperlink"/>
          </w:rPr>
          <w:t>WAC 480-07-530</w:t>
        </w:r>
      </w:hyperlink>
      <w:r>
        <w:t>, general rate increase filings by water companies must include the information described in this section</w:t>
      </w:r>
      <w:r w:rsidR="00A61763">
        <w:t>.</w:t>
      </w:r>
    </w:p>
    <w:p w14:paraId="56710EB4" w14:textId="77777777" w:rsidR="00142F8F" w:rsidRPr="006D0665" w:rsidRDefault="004D0EE2" w:rsidP="00142F8F">
      <w:pPr>
        <w:pStyle w:val="Heading3"/>
        <w:ind w:left="720" w:hanging="720"/>
      </w:pPr>
      <w:bookmarkStart w:id="48" w:name="_Toc477173657"/>
      <w:r>
        <w:t>4</w:t>
      </w:r>
      <w:r w:rsidR="00142F8F" w:rsidRPr="006D0665">
        <w:t>.</w:t>
      </w:r>
      <w:r w:rsidR="00142F8F">
        <w:t>1</w:t>
      </w:r>
      <w:r w:rsidR="00142F8F" w:rsidRPr="006D0665">
        <w:t>.</w:t>
      </w:r>
      <w:r w:rsidR="00142F8F">
        <w:t>1</w:t>
      </w:r>
      <w:r w:rsidR="00142F8F" w:rsidRPr="006D0665">
        <w:tab/>
      </w:r>
      <w:r w:rsidR="00142F8F">
        <w:t>Cover Letter</w:t>
      </w:r>
      <w:bookmarkEnd w:id="48"/>
    </w:p>
    <w:p w14:paraId="4A4DEFD3" w14:textId="77777777" w:rsidR="00142F8F" w:rsidRPr="003A5F05" w:rsidRDefault="00142F8F" w:rsidP="00142F8F"/>
    <w:p w14:paraId="2AF642BA" w14:textId="77777777" w:rsidR="0014093E" w:rsidRDefault="00142F8F" w:rsidP="0014093E">
      <w:r w:rsidRPr="00142F8F">
        <w:t>The cover letter must:</w:t>
      </w:r>
      <w:r w:rsidRPr="00142F8F">
        <w:br/>
      </w:r>
    </w:p>
    <w:p w14:paraId="446AA194" w14:textId="77777777" w:rsidR="0014093E" w:rsidRDefault="0014093E" w:rsidP="0014093E">
      <w:pPr>
        <w:pStyle w:val="ListParagraph"/>
        <w:numPr>
          <w:ilvl w:val="0"/>
          <w:numId w:val="20"/>
        </w:numPr>
      </w:pPr>
      <w:r w:rsidRPr="00142F8F">
        <w:t>Provide a description of the filing, and the requested action, in understandable terms;</w:t>
      </w:r>
    </w:p>
    <w:p w14:paraId="49C57398" w14:textId="77777777" w:rsidR="0014093E" w:rsidRDefault="0014093E" w:rsidP="0014093E">
      <w:pPr>
        <w:pStyle w:val="ListParagraph"/>
        <w:numPr>
          <w:ilvl w:val="1"/>
          <w:numId w:val="20"/>
        </w:numPr>
      </w:pPr>
      <w:r>
        <w:t>T</w:t>
      </w:r>
      <w:r w:rsidR="00142F8F" w:rsidRPr="00142F8F">
        <w:t>echnical terms are acceptable, but descriptions must use common terms so the public can easily unders</w:t>
      </w:r>
      <w:r>
        <w:t>tand the impact of the filing;</w:t>
      </w:r>
    </w:p>
    <w:p w14:paraId="36F07D57" w14:textId="77777777" w:rsidR="0014093E" w:rsidRDefault="0014093E" w:rsidP="0014093E">
      <w:pPr>
        <w:pStyle w:val="ListParagraph"/>
        <w:ind w:left="1080"/>
      </w:pPr>
    </w:p>
    <w:p w14:paraId="43053465" w14:textId="77777777" w:rsidR="0014093E" w:rsidRDefault="00142F8F" w:rsidP="0014093E">
      <w:pPr>
        <w:pStyle w:val="ListParagraph"/>
        <w:numPr>
          <w:ilvl w:val="1"/>
          <w:numId w:val="20"/>
        </w:numPr>
      </w:pPr>
      <w:r w:rsidRPr="00142F8F">
        <w:t>Acronyms, if used, must be defined before they are u</w:t>
      </w:r>
      <w:r w:rsidR="0014093E">
        <w:t>sed in the text of the letter;</w:t>
      </w:r>
    </w:p>
    <w:p w14:paraId="39B7CC9A" w14:textId="77777777" w:rsidR="0014093E" w:rsidRDefault="0014093E" w:rsidP="0014093E">
      <w:pPr>
        <w:pStyle w:val="ListParagraph"/>
        <w:ind w:left="360"/>
      </w:pPr>
    </w:p>
    <w:p w14:paraId="5B30F57A" w14:textId="77777777" w:rsidR="0014093E" w:rsidRDefault="00142F8F" w:rsidP="0014093E">
      <w:pPr>
        <w:pStyle w:val="ListParagraph"/>
        <w:numPr>
          <w:ilvl w:val="0"/>
          <w:numId w:val="20"/>
        </w:numPr>
      </w:pPr>
      <w:r w:rsidRPr="00142F8F">
        <w:t>State why the filing is being made (e.g., incre</w:t>
      </w:r>
      <w:r w:rsidR="0014093E">
        <w:t>ased costs for water testing);</w:t>
      </w:r>
    </w:p>
    <w:p w14:paraId="004638BE" w14:textId="77777777" w:rsidR="0014093E" w:rsidRDefault="0014093E" w:rsidP="0014093E">
      <w:pPr>
        <w:pStyle w:val="ListParagraph"/>
        <w:ind w:left="360"/>
      </w:pPr>
    </w:p>
    <w:p w14:paraId="20FB8853" w14:textId="31B1E775" w:rsidR="00142F8F" w:rsidRPr="00142F8F" w:rsidRDefault="00142F8F" w:rsidP="0014093E">
      <w:pPr>
        <w:pStyle w:val="ListParagraph"/>
        <w:numPr>
          <w:ilvl w:val="0"/>
          <w:numId w:val="20"/>
        </w:numPr>
      </w:pPr>
      <w:r w:rsidRPr="00142F8F">
        <w:t>Describe each service impacted and the dollar and percentage change for each service as well as the net impact of all changes on the company's total regulated revenue.</w:t>
      </w:r>
    </w:p>
    <w:p w14:paraId="6CA98D93" w14:textId="77777777" w:rsidR="00142F8F" w:rsidRPr="003A5F05" w:rsidRDefault="004D0EE2" w:rsidP="00142F8F">
      <w:pPr>
        <w:pStyle w:val="Heading3"/>
      </w:pPr>
      <w:bookmarkStart w:id="49" w:name="_Toc477173658"/>
      <w:r>
        <w:t>4</w:t>
      </w:r>
      <w:r w:rsidR="00142F8F" w:rsidRPr="003A5F05">
        <w:t>.1.</w:t>
      </w:r>
      <w:r w:rsidR="00142F8F">
        <w:t>2</w:t>
      </w:r>
      <w:r w:rsidR="00142F8F">
        <w:tab/>
        <w:t>Tariff</w:t>
      </w:r>
      <w:bookmarkEnd w:id="49"/>
    </w:p>
    <w:p w14:paraId="3FA93C2F" w14:textId="77777777" w:rsidR="00142F8F" w:rsidRPr="003A5F05" w:rsidRDefault="00142F8F" w:rsidP="00142F8F"/>
    <w:p w14:paraId="16D54E07" w14:textId="2D37C724" w:rsidR="00142F8F" w:rsidRPr="00142F8F" w:rsidRDefault="00142F8F" w:rsidP="00142F8F">
      <w:r w:rsidRPr="00142F8F">
        <w:t>The proposed tariff must include explanatory markings</w:t>
      </w:r>
      <w:r w:rsidR="0014093E">
        <w:t xml:space="preserve">, for additional information on </w:t>
      </w:r>
      <w:r w:rsidR="005C4E10">
        <w:t>tariffs;</w:t>
      </w:r>
      <w:r w:rsidR="0014093E">
        <w:t xml:space="preserve"> see </w:t>
      </w:r>
      <w:hyperlink r:id="rId36" w:history="1">
        <w:r w:rsidR="0014093E" w:rsidRPr="0014093E">
          <w:rPr>
            <w:rStyle w:val="Hyperlink"/>
          </w:rPr>
          <w:t>WAC 480-80</w:t>
        </w:r>
      </w:hyperlink>
      <w:r w:rsidR="005B5CA5">
        <w:rPr>
          <w:rStyle w:val="Hyperlink"/>
        </w:rPr>
        <w:t xml:space="preserve"> </w:t>
      </w:r>
      <w:r w:rsidR="005C4E10">
        <w:rPr>
          <w:rStyle w:val="Hyperlink"/>
        </w:rPr>
        <w:t>-101-</w:t>
      </w:r>
      <w:r w:rsidR="005A7E0B">
        <w:rPr>
          <w:rStyle w:val="Hyperlink"/>
        </w:rPr>
        <w:t>-</w:t>
      </w:r>
      <w:r w:rsidR="005C4E10">
        <w:rPr>
          <w:rStyle w:val="Hyperlink"/>
        </w:rPr>
        <w:t>105</w:t>
      </w:r>
      <w:r w:rsidRPr="00142F8F">
        <w:t>.</w:t>
      </w:r>
    </w:p>
    <w:p w14:paraId="101F1AAB" w14:textId="77777777" w:rsidR="00142F8F" w:rsidRPr="003A5F05" w:rsidRDefault="004D0EE2" w:rsidP="00142F8F">
      <w:pPr>
        <w:pStyle w:val="Heading3"/>
      </w:pPr>
      <w:bookmarkStart w:id="50" w:name="_Toc477173659"/>
      <w:r>
        <w:t>4</w:t>
      </w:r>
      <w:r w:rsidR="00142F8F" w:rsidRPr="003A5F05">
        <w:t>.1.</w:t>
      </w:r>
      <w:r w:rsidR="00142F8F">
        <w:t>3</w:t>
      </w:r>
      <w:r w:rsidR="00142F8F" w:rsidRPr="003A5F05">
        <w:tab/>
      </w:r>
      <w:r w:rsidR="00142F8F">
        <w:t>Customer Notice</w:t>
      </w:r>
      <w:bookmarkEnd w:id="50"/>
    </w:p>
    <w:p w14:paraId="144EC779" w14:textId="77777777" w:rsidR="00142F8F" w:rsidRPr="003A5F05" w:rsidRDefault="00142F8F" w:rsidP="00142F8F"/>
    <w:p w14:paraId="2D472D06" w14:textId="1AA0C709" w:rsidR="000135C5" w:rsidRDefault="00142F8F" w:rsidP="00142F8F">
      <w:r w:rsidRPr="00142F8F">
        <w:t>A copy of the notice mailed to customers</w:t>
      </w:r>
      <w:r w:rsidR="0014093E">
        <w:t xml:space="preserve"> must be included with the GRC filing</w:t>
      </w:r>
      <w:r w:rsidR="00F57B3B">
        <w:t xml:space="preserve">; </w:t>
      </w:r>
      <w:r w:rsidR="0014093E">
        <w:t xml:space="preserve">the notice must be reviewed by the Commission’s </w:t>
      </w:r>
      <w:r w:rsidR="005C4E10">
        <w:t xml:space="preserve">Consumer </w:t>
      </w:r>
      <w:r w:rsidR="0014093E">
        <w:t>Protection section</w:t>
      </w:r>
      <w:r w:rsidR="000135C5">
        <w:t xml:space="preserve"> at least one week before the </w:t>
      </w:r>
      <w:r w:rsidR="00D22C48">
        <w:t>company has</w:t>
      </w:r>
      <w:r w:rsidR="000135C5">
        <w:t xml:space="preserve"> planned printing date for distribution</w:t>
      </w:r>
      <w:r w:rsidR="002921FD" w:rsidRPr="00142F8F">
        <w:t>.</w:t>
      </w:r>
      <w:r w:rsidR="002921FD">
        <w:t xml:space="preserve"> </w:t>
      </w:r>
      <w:r w:rsidR="0014093E">
        <w:t xml:space="preserve">For additional information on customer notices, see </w:t>
      </w:r>
    </w:p>
    <w:p w14:paraId="1E96FE46" w14:textId="77777777" w:rsidR="00142F8F" w:rsidRPr="00142F8F" w:rsidRDefault="00A524D4" w:rsidP="00142F8F">
      <w:hyperlink r:id="rId37" w:history="1">
        <w:r w:rsidR="0014093E" w:rsidRPr="0014093E">
          <w:rPr>
            <w:rStyle w:val="Hyperlink"/>
          </w:rPr>
          <w:t>WAC 480-110-425</w:t>
        </w:r>
      </w:hyperlink>
      <w:r w:rsidR="0014093E">
        <w:t xml:space="preserve"> or contact </w:t>
      </w:r>
      <w:r w:rsidR="005C4E10">
        <w:t>Consumer</w:t>
      </w:r>
      <w:r w:rsidR="0014093E">
        <w:t xml:space="preserve"> Protection at (360) 664-1113</w:t>
      </w:r>
      <w:r w:rsidR="00960624">
        <w:t xml:space="preserve"> or toll free at (888) 333-9882</w:t>
      </w:r>
      <w:r w:rsidR="0014093E">
        <w:t>.</w:t>
      </w:r>
    </w:p>
    <w:p w14:paraId="21A574A9" w14:textId="77777777" w:rsidR="00142F8F" w:rsidRPr="003A5F05" w:rsidRDefault="004D0EE2" w:rsidP="00142F8F">
      <w:pPr>
        <w:pStyle w:val="Heading3"/>
      </w:pPr>
      <w:bookmarkStart w:id="51" w:name="_Toc477173660"/>
      <w:r>
        <w:t>4</w:t>
      </w:r>
      <w:r w:rsidR="00142F8F" w:rsidRPr="003A5F05">
        <w:t>.1.</w:t>
      </w:r>
      <w:r w:rsidR="00142F8F">
        <w:t>4</w:t>
      </w:r>
      <w:r w:rsidR="00142F8F">
        <w:tab/>
        <w:t>Work Papers</w:t>
      </w:r>
      <w:bookmarkEnd w:id="51"/>
    </w:p>
    <w:p w14:paraId="637937D5" w14:textId="77777777" w:rsidR="00142F8F" w:rsidRDefault="00142F8F" w:rsidP="00142F8F"/>
    <w:p w14:paraId="3C5FC850" w14:textId="77777777" w:rsidR="00960624" w:rsidRDefault="00960624" w:rsidP="00142F8F">
      <w:r w:rsidRPr="00142F8F">
        <w:t>The supporting work papers</w:t>
      </w:r>
      <w:r>
        <w:t xml:space="preserve">, which the GRCW satisfies the majority, </w:t>
      </w:r>
      <w:r w:rsidRPr="00142F8F">
        <w:t>for the test period including:</w:t>
      </w:r>
    </w:p>
    <w:p w14:paraId="4194680C" w14:textId="77777777" w:rsidR="00960624" w:rsidRPr="003A5F05" w:rsidRDefault="00960624" w:rsidP="00142F8F"/>
    <w:p w14:paraId="75687D08" w14:textId="77777777" w:rsidR="00960624" w:rsidRDefault="00142F8F" w:rsidP="00960624">
      <w:pPr>
        <w:pStyle w:val="ListParagraph"/>
        <w:numPr>
          <w:ilvl w:val="0"/>
          <w:numId w:val="21"/>
        </w:numPr>
      </w:pPr>
      <w:r w:rsidRPr="00142F8F">
        <w:t>A calculation of the revenue impact of proposed ra</w:t>
      </w:r>
      <w:r w:rsidR="00960624">
        <w:t>tes by each class affected;</w:t>
      </w:r>
    </w:p>
    <w:p w14:paraId="44919298" w14:textId="77777777" w:rsidR="00960624" w:rsidRDefault="00960624" w:rsidP="00960624">
      <w:pPr>
        <w:pStyle w:val="ListParagraph"/>
      </w:pPr>
    </w:p>
    <w:p w14:paraId="1FB1A045" w14:textId="0F671376" w:rsidR="00960624" w:rsidRDefault="00142F8F" w:rsidP="00960624">
      <w:pPr>
        <w:pStyle w:val="ListParagraph"/>
        <w:numPr>
          <w:ilvl w:val="0"/>
          <w:numId w:val="21"/>
        </w:numPr>
      </w:pPr>
      <w:r w:rsidRPr="00142F8F">
        <w:t xml:space="preserve">Balance </w:t>
      </w:r>
      <w:r w:rsidR="00E53348">
        <w:t>S</w:t>
      </w:r>
      <w:r w:rsidR="00E53348" w:rsidRPr="00142F8F">
        <w:t xml:space="preserve">heet </w:t>
      </w:r>
      <w:r w:rsidRPr="00142F8F">
        <w:t xml:space="preserve">and </w:t>
      </w:r>
      <w:r w:rsidR="00E53348">
        <w:t>Income Statement</w:t>
      </w:r>
      <w:r w:rsidR="00960624">
        <w:t>;</w:t>
      </w:r>
    </w:p>
    <w:p w14:paraId="7C5E42BE" w14:textId="77777777" w:rsidR="00960624" w:rsidRDefault="00960624" w:rsidP="00960624">
      <w:pPr>
        <w:pStyle w:val="ListParagraph"/>
      </w:pPr>
    </w:p>
    <w:p w14:paraId="47335E65" w14:textId="00625722" w:rsidR="00960624" w:rsidRDefault="00E53348" w:rsidP="00960624">
      <w:pPr>
        <w:pStyle w:val="ListParagraph"/>
        <w:numPr>
          <w:ilvl w:val="0"/>
          <w:numId w:val="21"/>
        </w:numPr>
      </w:pPr>
      <w:r>
        <w:t xml:space="preserve">Plant </w:t>
      </w:r>
      <w:r w:rsidR="00960624">
        <w:t xml:space="preserve">Depreciation </w:t>
      </w:r>
      <w:r>
        <w:t>Schedule and CIAC Amortization Schedule</w:t>
      </w:r>
      <w:r w:rsidR="00960624">
        <w:t>;</w:t>
      </w:r>
    </w:p>
    <w:p w14:paraId="18B92DC6" w14:textId="77777777" w:rsidR="00960624" w:rsidRDefault="00960624" w:rsidP="00960624">
      <w:pPr>
        <w:pStyle w:val="ListParagraph"/>
      </w:pPr>
    </w:p>
    <w:p w14:paraId="131DB9AF" w14:textId="666A36D9" w:rsidR="00960624" w:rsidRDefault="00142F8F" w:rsidP="00960624">
      <w:pPr>
        <w:pStyle w:val="ListParagraph"/>
        <w:numPr>
          <w:ilvl w:val="0"/>
          <w:numId w:val="21"/>
        </w:numPr>
      </w:pPr>
      <w:r w:rsidRPr="00142F8F">
        <w:lastRenderedPageBreak/>
        <w:t xml:space="preserve">Adjustments proposed including a schedule showing adjustments to the </w:t>
      </w:r>
      <w:r w:rsidR="00E53348">
        <w:t>Income Statement</w:t>
      </w:r>
      <w:r w:rsidRPr="00142F8F">
        <w:t>, including any restating adjustments and/or proforma adjustments including</w:t>
      </w:r>
      <w:r w:rsidR="00960624">
        <w:t xml:space="preserve"> the effect of proposed rates;</w:t>
      </w:r>
    </w:p>
    <w:p w14:paraId="76691D40" w14:textId="77777777" w:rsidR="00960624" w:rsidRDefault="00960624" w:rsidP="00960624">
      <w:pPr>
        <w:pStyle w:val="ListParagraph"/>
      </w:pPr>
    </w:p>
    <w:p w14:paraId="399426AC" w14:textId="13C71E04" w:rsidR="00960624" w:rsidRDefault="00142F8F" w:rsidP="00960624">
      <w:pPr>
        <w:pStyle w:val="ListParagraph"/>
        <w:numPr>
          <w:ilvl w:val="0"/>
          <w:numId w:val="21"/>
        </w:numPr>
      </w:pPr>
      <w:r w:rsidRPr="00142F8F">
        <w:t>Work papers that explain both restating and proforma adjustments that the company proposes, specifying all relevant assumptions, and including specific references to charts of accounts, financial reports, studies, and all similar records relied on by the company in preparing its filing, and its supp</w:t>
      </w:r>
      <w:r w:rsidR="00960624">
        <w:t>orting testimony and exhibits.</w:t>
      </w:r>
    </w:p>
    <w:p w14:paraId="039C693B" w14:textId="77777777" w:rsidR="00960624" w:rsidRDefault="00960624" w:rsidP="00960624">
      <w:pPr>
        <w:pStyle w:val="ListParagraph"/>
      </w:pPr>
    </w:p>
    <w:p w14:paraId="227DC09F" w14:textId="58D74A9B" w:rsidR="00960624" w:rsidRDefault="00142F8F" w:rsidP="00960624">
      <w:pPr>
        <w:pStyle w:val="ListParagraph"/>
        <w:numPr>
          <w:ilvl w:val="1"/>
          <w:numId w:val="21"/>
        </w:numPr>
      </w:pPr>
      <w:r w:rsidRPr="00142F8F">
        <w:t xml:space="preserve">"Restating actual adjustments" adjust the booked operating results for any defects or infirmities in actual recorded results, which can distort test period earnings. Restating actual adjustments are also used to adjust from an as-recorded basis to a basis that is acceptable for </w:t>
      </w:r>
      <w:r w:rsidR="00C95EC9" w:rsidRPr="00142F8F">
        <w:t>ratemaking</w:t>
      </w:r>
      <w:r w:rsidRPr="00142F8F">
        <w:t>. Examples of restating actual adjustments are adjustments to remove prior period amounts, to eliminate below-the-line items that were recorded as operating expenses in error, to adjust from book estimates to actual amounts, and to eliminate or to normalize extraordinary items re</w:t>
      </w:r>
      <w:r w:rsidR="00960624">
        <w:t>corded during the test period.</w:t>
      </w:r>
    </w:p>
    <w:p w14:paraId="4D53527A" w14:textId="77777777" w:rsidR="00960624" w:rsidRDefault="00960624" w:rsidP="00960624">
      <w:pPr>
        <w:pStyle w:val="ListParagraph"/>
        <w:ind w:left="1080"/>
      </w:pPr>
    </w:p>
    <w:p w14:paraId="108FED70" w14:textId="3BE1F531" w:rsidR="00960624" w:rsidRDefault="00142F8F" w:rsidP="00960624">
      <w:pPr>
        <w:pStyle w:val="ListParagraph"/>
        <w:numPr>
          <w:ilvl w:val="1"/>
          <w:numId w:val="21"/>
        </w:numPr>
      </w:pPr>
      <w:r w:rsidRPr="00142F8F">
        <w:t xml:space="preserve">"Proforma adjustments" give effect for the test period to all known and measurable changes that are not offset by other factors. The filing must identify dollar values and underlying reasons for each </w:t>
      </w:r>
      <w:r w:rsidR="00960624">
        <w:t>proposed proforma adjustment.</w:t>
      </w:r>
    </w:p>
    <w:p w14:paraId="7C94905D" w14:textId="77777777" w:rsidR="00960624" w:rsidRDefault="00960624" w:rsidP="00960624">
      <w:pPr>
        <w:pStyle w:val="ListParagraph"/>
      </w:pPr>
    </w:p>
    <w:p w14:paraId="6A734634" w14:textId="77777777" w:rsidR="00960624" w:rsidRDefault="00142F8F" w:rsidP="00960624">
      <w:pPr>
        <w:pStyle w:val="ListParagraph"/>
        <w:numPr>
          <w:ilvl w:val="0"/>
          <w:numId w:val="21"/>
        </w:numPr>
      </w:pPr>
      <w:r w:rsidRPr="00142F8F">
        <w:t>Usage statistics verifying test year r</w:t>
      </w:r>
      <w:r w:rsidR="00960624">
        <w:t>evenues and proposed revenues.</w:t>
      </w:r>
    </w:p>
    <w:p w14:paraId="635933FF" w14:textId="77777777" w:rsidR="00960624" w:rsidRDefault="00960624" w:rsidP="00960624">
      <w:pPr>
        <w:pStyle w:val="ListParagraph"/>
        <w:ind w:left="360"/>
      </w:pPr>
    </w:p>
    <w:p w14:paraId="702CA82F" w14:textId="10CC7D9C" w:rsidR="00960624" w:rsidRDefault="00142F8F" w:rsidP="00960624">
      <w:pPr>
        <w:pStyle w:val="ListParagraph"/>
        <w:numPr>
          <w:ilvl w:val="0"/>
          <w:numId w:val="21"/>
        </w:numPr>
      </w:pPr>
      <w:r w:rsidRPr="00142F8F">
        <w:t xml:space="preserve">Public water system identification number assigned by the Washington </w:t>
      </w:r>
      <w:r w:rsidR="00546FF1">
        <w:t>D</w:t>
      </w:r>
      <w:r w:rsidR="00546FF1" w:rsidRPr="00142F8F">
        <w:t xml:space="preserve">epartment </w:t>
      </w:r>
      <w:r w:rsidRPr="00142F8F">
        <w:t xml:space="preserve">of </w:t>
      </w:r>
      <w:r w:rsidR="00546FF1">
        <w:t>H</w:t>
      </w:r>
      <w:r w:rsidR="00546FF1" w:rsidRPr="00142F8F">
        <w:t xml:space="preserve">ealth </w:t>
      </w:r>
      <w:r w:rsidRPr="00142F8F">
        <w:t>for each system that the n</w:t>
      </w:r>
      <w:r w:rsidR="00960624">
        <w:t>ew rates will affect.</w:t>
      </w:r>
    </w:p>
    <w:p w14:paraId="7C3CF826" w14:textId="77777777" w:rsidR="00960624" w:rsidRDefault="00960624" w:rsidP="00960624">
      <w:pPr>
        <w:pStyle w:val="ListParagraph"/>
      </w:pPr>
    </w:p>
    <w:p w14:paraId="4A08CB5B" w14:textId="77777777" w:rsidR="00960624" w:rsidRDefault="00142F8F" w:rsidP="00960624">
      <w:pPr>
        <w:pStyle w:val="ListParagraph"/>
        <w:numPr>
          <w:ilvl w:val="0"/>
          <w:numId w:val="21"/>
        </w:numPr>
      </w:pPr>
      <w:r w:rsidRPr="00142F8F">
        <w:t>Schedule showing separation of revenues and expenses between regulate</w:t>
      </w:r>
      <w:r w:rsidR="00960624">
        <w:t>d and non-regulated operations.</w:t>
      </w:r>
    </w:p>
    <w:p w14:paraId="4E6E3E25" w14:textId="77777777" w:rsidR="00960624" w:rsidRDefault="00960624" w:rsidP="00960624">
      <w:pPr>
        <w:pStyle w:val="ListParagraph"/>
      </w:pPr>
    </w:p>
    <w:p w14:paraId="5C834356" w14:textId="224F4FDE" w:rsidR="00546FF1" w:rsidRDefault="00142F8F" w:rsidP="00343C9C">
      <w:pPr>
        <w:pStyle w:val="ListParagraph"/>
        <w:numPr>
          <w:ilvl w:val="0"/>
          <w:numId w:val="21"/>
        </w:numPr>
      </w:pPr>
      <w:r w:rsidRPr="00142F8F">
        <w:t xml:space="preserve">Information about every transaction with an affiliated interest or subsidiary that directly or indirectly affects the proposed rates. This must </w:t>
      </w:r>
      <w:r w:rsidR="00D22C48" w:rsidRPr="00142F8F">
        <w:t>include</w:t>
      </w:r>
      <w:r w:rsidRPr="00142F8F">
        <w:t xml:space="preserve"> </w:t>
      </w:r>
      <w:r w:rsidR="00A2795B">
        <w:t>a</w:t>
      </w:r>
      <w:r w:rsidR="00A2795B" w:rsidRPr="00142F8F">
        <w:t xml:space="preserve"> </w:t>
      </w:r>
      <w:r w:rsidRPr="00142F8F">
        <w:t>full description of the relationship, terms and amount of the transaction, the length of time the relationship has been ongoing, and an income statement and balance sheet for every affiliated entity.</w:t>
      </w:r>
    </w:p>
    <w:p w14:paraId="4A22F76D" w14:textId="77777777" w:rsidR="005A7E0B" w:rsidRDefault="005A7E0B" w:rsidP="005A7E0B">
      <w:pPr>
        <w:pStyle w:val="ListParagraph"/>
      </w:pPr>
    </w:p>
    <w:p w14:paraId="4FDF71F1" w14:textId="77777777" w:rsidR="005A7E0B" w:rsidRDefault="005A7E0B" w:rsidP="005A7E0B"/>
    <w:p w14:paraId="358CBB2F" w14:textId="7C38BACA" w:rsidR="005A7E0B" w:rsidRPr="00142F8F" w:rsidRDefault="005A7E0B" w:rsidP="005A7E0B">
      <w:r>
        <w:t xml:space="preserve">Note: The commission </w:t>
      </w:r>
      <w:r w:rsidR="00CB30D1">
        <w:t>has</w:t>
      </w:r>
      <w:r>
        <w:t xml:space="preserve"> mov</w:t>
      </w:r>
      <w:r w:rsidR="00CB30D1">
        <w:t>ed</w:t>
      </w:r>
      <w:r>
        <w:t xml:space="preserve"> to electronic filing and communications. This provides faster, more secure, and greater access for all concerned parties. Please see staff notes on </w:t>
      </w:r>
      <w:r w:rsidRPr="005A7E0B">
        <w:rPr>
          <w:b/>
          <w:i/>
        </w:rPr>
        <w:t>Electronic Filings</w:t>
      </w:r>
      <w:r>
        <w:t>.</w:t>
      </w:r>
    </w:p>
    <w:sectPr w:rsidR="005A7E0B" w:rsidRPr="00142F8F" w:rsidSect="00484D0B">
      <w:headerReference w:type="default" r:id="rId38"/>
      <w:footerReference w:type="default" r:id="rId39"/>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02F86" w14:textId="77777777" w:rsidR="00A524D4" w:rsidRDefault="00A524D4" w:rsidP="007E7A08">
      <w:r>
        <w:separator/>
      </w:r>
    </w:p>
  </w:endnote>
  <w:endnote w:type="continuationSeparator" w:id="0">
    <w:p w14:paraId="014A713A" w14:textId="77777777" w:rsidR="00A524D4" w:rsidRDefault="00A524D4" w:rsidP="007E7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C85C9" w14:textId="77777777" w:rsidR="007A4C79" w:rsidRDefault="007A4C79">
    <w:pPr>
      <w:pStyle w:val="Footer"/>
      <w:pBdr>
        <w:top w:val="single" w:sz="12" w:space="1" w:color="auto"/>
      </w:pBdr>
      <w:tabs>
        <w:tab w:val="clear" w:pos="8640"/>
        <w:tab w:val="right" w:pos="9360"/>
      </w:tabs>
      <w:rPr>
        <w:rStyle w:val="PageNumber"/>
        <w:b/>
        <w:sz w:val="20"/>
      </w:rPr>
    </w:pPr>
    <w:r>
      <w:rPr>
        <w:b/>
        <w:sz w:val="20"/>
      </w:rPr>
      <w:t>User’s Manual</w:t>
    </w:r>
    <w:r>
      <w:rPr>
        <w:b/>
        <w:sz w:val="20"/>
      </w:rPr>
      <w:tab/>
    </w:r>
    <w:r>
      <w:rPr>
        <w:b/>
        <w:sz w:val="20"/>
      </w:rPr>
      <w:tab/>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sidR="00145439">
      <w:rPr>
        <w:rStyle w:val="PageNumber"/>
        <w:b/>
        <w:noProof/>
        <w:sz w:val="20"/>
      </w:rPr>
      <w:t>i</w:t>
    </w:r>
    <w:r>
      <w:rPr>
        <w:rStyle w:val="PageNumber"/>
        <w:b/>
        <w:sz w:val="20"/>
      </w:rPr>
      <w:fldChar w:fldCharType="end"/>
    </w:r>
  </w:p>
  <w:p w14:paraId="2395304F" w14:textId="77777777" w:rsidR="007A4C79" w:rsidRDefault="007A4C79">
    <w:pPr>
      <w:pStyle w:val="Footer"/>
      <w:pBdr>
        <w:top w:val="single" w:sz="12" w:space="1" w:color="auto"/>
      </w:pBdr>
      <w:tabs>
        <w:tab w:val="clear" w:pos="8640"/>
        <w:tab w:val="right" w:pos="9360"/>
      </w:tabs>
      <w:rPr>
        <w:rStyle w:val="PageNumber"/>
        <w:b/>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CB625" w14:textId="77777777" w:rsidR="007A4C79" w:rsidRDefault="007A4C79">
    <w:pPr>
      <w:pStyle w:val="Footer"/>
      <w:pBdr>
        <w:top w:val="single" w:sz="12" w:space="1" w:color="auto"/>
      </w:pBdr>
      <w:tabs>
        <w:tab w:val="clear" w:pos="8640"/>
        <w:tab w:val="right" w:pos="9360"/>
      </w:tabs>
      <w:rPr>
        <w:rStyle w:val="PageNumber"/>
        <w:b/>
        <w:sz w:val="20"/>
      </w:rPr>
    </w:pPr>
    <w:r>
      <w:rPr>
        <w:b/>
        <w:sz w:val="20"/>
      </w:rPr>
      <w:t xml:space="preserve">User’s Manual </w:t>
    </w:r>
    <w:r>
      <w:rPr>
        <w:b/>
        <w:sz w:val="20"/>
      </w:rPr>
      <w:tab/>
    </w:r>
    <w:r>
      <w:rPr>
        <w:b/>
        <w:sz w:val="20"/>
      </w:rPr>
      <w:tab/>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sidR="00145439">
      <w:rPr>
        <w:rStyle w:val="PageNumber"/>
        <w:b/>
        <w:noProof/>
        <w:sz w:val="20"/>
      </w:rPr>
      <w:t>ii</w:t>
    </w:r>
    <w:r>
      <w:rPr>
        <w:rStyle w:val="PageNumber"/>
        <w:b/>
        <w:sz w:val="20"/>
      </w:rPr>
      <w:fldChar w:fldCharType="end"/>
    </w:r>
  </w:p>
  <w:p w14:paraId="5B747CD6" w14:textId="77777777" w:rsidR="007A4C79" w:rsidRDefault="007A4C79">
    <w:pPr>
      <w:pStyle w:val="Footer"/>
      <w:pBdr>
        <w:top w:val="single" w:sz="12" w:space="1" w:color="auto"/>
      </w:pBdr>
      <w:tabs>
        <w:tab w:val="clear" w:pos="8640"/>
        <w:tab w:val="right" w:pos="9360"/>
      </w:tabs>
      <w:rPr>
        <w:b/>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AA0C6" w14:textId="77777777" w:rsidR="007A4C79" w:rsidRDefault="007A4C79">
    <w:pPr>
      <w:pStyle w:val="Footer"/>
      <w:pBdr>
        <w:top w:val="single" w:sz="12" w:space="1" w:color="auto"/>
      </w:pBdr>
      <w:tabs>
        <w:tab w:val="clear" w:pos="8640"/>
        <w:tab w:val="right" w:pos="9360"/>
      </w:tabs>
      <w:rPr>
        <w:rStyle w:val="PageNumber"/>
        <w:b/>
        <w:sz w:val="20"/>
      </w:rPr>
    </w:pPr>
    <w:r>
      <w:rPr>
        <w:b/>
        <w:sz w:val="20"/>
      </w:rPr>
      <w:t xml:space="preserve">User’s Manual </w:t>
    </w:r>
    <w:r>
      <w:rPr>
        <w:b/>
        <w:sz w:val="20"/>
      </w:rPr>
      <w:tab/>
    </w:r>
    <w:r>
      <w:rPr>
        <w:b/>
        <w:sz w:val="20"/>
      </w:rPr>
      <w:tab/>
    </w:r>
  </w:p>
  <w:p w14:paraId="4A56B355" w14:textId="77777777" w:rsidR="007A4C79" w:rsidRDefault="007A4C79">
    <w:pPr>
      <w:pStyle w:val="Footer"/>
      <w:pBdr>
        <w:top w:val="single" w:sz="12" w:space="1" w:color="auto"/>
      </w:pBdr>
      <w:tabs>
        <w:tab w:val="clear" w:pos="8640"/>
        <w:tab w:val="right" w:pos="9360"/>
      </w:tabs>
      <w:rPr>
        <w:b/>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6C4EB" w14:textId="77777777" w:rsidR="007A4C79" w:rsidRDefault="007A4C79">
    <w:pPr>
      <w:pStyle w:val="Footer"/>
      <w:pBdr>
        <w:top w:val="single" w:sz="12" w:space="1" w:color="auto"/>
      </w:pBdr>
      <w:tabs>
        <w:tab w:val="clear" w:pos="8640"/>
        <w:tab w:val="right" w:pos="9360"/>
      </w:tabs>
      <w:rPr>
        <w:rStyle w:val="PageNumber"/>
        <w:b/>
        <w:sz w:val="20"/>
      </w:rPr>
    </w:pPr>
    <w:r>
      <w:rPr>
        <w:b/>
        <w:sz w:val="20"/>
      </w:rPr>
      <w:t>User’s Manual</w:t>
    </w:r>
    <w:r>
      <w:rPr>
        <w:b/>
        <w:sz w:val="20"/>
      </w:rPr>
      <w:tab/>
    </w:r>
    <w:r>
      <w:rPr>
        <w:b/>
        <w:sz w:val="20"/>
      </w:rPr>
      <w:tab/>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sidR="00145439">
      <w:rPr>
        <w:rStyle w:val="PageNumber"/>
        <w:b/>
        <w:noProof/>
        <w:sz w:val="20"/>
      </w:rPr>
      <w:t>1-2</w:t>
    </w:r>
    <w:r>
      <w:rPr>
        <w:rStyle w:val="PageNumber"/>
        <w:b/>
        <w:sz w:val="20"/>
      </w:rPr>
      <w:fldChar w:fldCharType="end"/>
    </w:r>
  </w:p>
  <w:p w14:paraId="3F0D6342" w14:textId="77777777" w:rsidR="007A4C79" w:rsidRDefault="007A4C79">
    <w:pPr>
      <w:pStyle w:val="Footer"/>
      <w:pBdr>
        <w:top w:val="single" w:sz="12" w:space="1" w:color="auto"/>
      </w:pBdr>
      <w:tabs>
        <w:tab w:val="clear" w:pos="8640"/>
        <w:tab w:val="right" w:pos="9360"/>
      </w:tabs>
      <w:rPr>
        <w:rStyle w:val="PageNumbe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48DC" w14:textId="77777777" w:rsidR="007A4C79" w:rsidRDefault="007A4C79">
    <w:pPr>
      <w:pStyle w:val="Footer"/>
      <w:pBdr>
        <w:top w:val="single" w:sz="12" w:space="1" w:color="auto"/>
      </w:pBdr>
      <w:tabs>
        <w:tab w:val="clear" w:pos="8640"/>
        <w:tab w:val="right" w:pos="9360"/>
      </w:tabs>
      <w:rPr>
        <w:b/>
        <w:sz w:val="20"/>
      </w:rPr>
    </w:pPr>
    <w:r>
      <w:rPr>
        <w:b/>
        <w:sz w:val="20"/>
      </w:rPr>
      <w:t>User’s Manual</w:t>
    </w:r>
    <w:r>
      <w:rPr>
        <w:b/>
        <w:sz w:val="20"/>
      </w:rPr>
      <w:tab/>
    </w:r>
    <w:r>
      <w:rPr>
        <w:b/>
        <w:sz w:val="20"/>
      </w:rPr>
      <w:tab/>
    </w:r>
  </w:p>
  <w:p w14:paraId="003211BE" w14:textId="77777777" w:rsidR="007A4C79" w:rsidRDefault="007A4C79">
    <w:pPr>
      <w:pStyle w:val="Footer"/>
      <w:pBdr>
        <w:top w:val="single" w:sz="12" w:space="1" w:color="auto"/>
      </w:pBdr>
      <w:tabs>
        <w:tab w:val="clear" w:pos="8640"/>
        <w:tab w:val="right" w:pos="9360"/>
      </w:tabs>
      <w:rPr>
        <w:rStyle w:val="PageNumber"/>
        <w:b/>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8B726" w14:textId="77777777" w:rsidR="007A4C79" w:rsidRDefault="007A4C79">
    <w:pPr>
      <w:pStyle w:val="Footer"/>
      <w:pBdr>
        <w:top w:val="single" w:sz="12" w:space="1" w:color="auto"/>
      </w:pBdr>
      <w:tabs>
        <w:tab w:val="clear" w:pos="8640"/>
        <w:tab w:val="right" w:pos="9360"/>
      </w:tabs>
      <w:rPr>
        <w:rStyle w:val="PageNumber"/>
        <w:b/>
        <w:sz w:val="20"/>
      </w:rPr>
    </w:pPr>
    <w:r>
      <w:rPr>
        <w:b/>
        <w:sz w:val="20"/>
      </w:rPr>
      <w:t>User’s Manual</w:t>
    </w:r>
    <w:r>
      <w:rPr>
        <w:b/>
        <w:sz w:val="20"/>
      </w:rPr>
      <w:tab/>
    </w:r>
    <w:r>
      <w:rPr>
        <w:b/>
        <w:sz w:val="20"/>
      </w:rPr>
      <w:tab/>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sidR="00145439">
      <w:rPr>
        <w:rStyle w:val="PageNumber"/>
        <w:b/>
        <w:noProof/>
        <w:sz w:val="20"/>
      </w:rPr>
      <w:t>2-2</w:t>
    </w:r>
    <w:r>
      <w:rPr>
        <w:rStyle w:val="PageNumber"/>
        <w:b/>
        <w:sz w:val="20"/>
      </w:rPr>
      <w:fldChar w:fldCharType="end"/>
    </w:r>
  </w:p>
  <w:p w14:paraId="3866DD95" w14:textId="77777777" w:rsidR="007A4C79" w:rsidRDefault="007A4C79">
    <w:pPr>
      <w:pStyle w:val="Footer"/>
      <w:pBdr>
        <w:top w:val="single" w:sz="12" w:space="1" w:color="auto"/>
      </w:pBdr>
      <w:tabs>
        <w:tab w:val="clear" w:pos="8640"/>
        <w:tab w:val="right" w:pos="9360"/>
      </w:tabs>
      <w:rPr>
        <w:rStyle w:val="PageNumbe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669B7" w14:textId="77777777" w:rsidR="007A4C79" w:rsidRDefault="007A4C79">
    <w:pPr>
      <w:pStyle w:val="Footer"/>
      <w:pBdr>
        <w:top w:val="single" w:sz="12" w:space="1" w:color="auto"/>
      </w:pBdr>
      <w:tabs>
        <w:tab w:val="clear" w:pos="8640"/>
        <w:tab w:val="right" w:pos="9360"/>
      </w:tabs>
      <w:rPr>
        <w:b/>
        <w:sz w:val="20"/>
      </w:rPr>
    </w:pPr>
    <w:r>
      <w:rPr>
        <w:b/>
        <w:sz w:val="20"/>
      </w:rPr>
      <w:t>User’s Manual</w:t>
    </w:r>
    <w:r>
      <w:rPr>
        <w:b/>
        <w:sz w:val="20"/>
      </w:rPr>
      <w:tab/>
    </w:r>
    <w:r>
      <w:rPr>
        <w:b/>
        <w:sz w:val="20"/>
      </w:rPr>
      <w:tab/>
    </w:r>
  </w:p>
  <w:p w14:paraId="57627A14" w14:textId="77777777" w:rsidR="007A4C79" w:rsidRDefault="007A4C79">
    <w:pPr>
      <w:pStyle w:val="Footer"/>
      <w:pBdr>
        <w:top w:val="single" w:sz="12" w:space="1" w:color="auto"/>
      </w:pBdr>
      <w:tabs>
        <w:tab w:val="clear" w:pos="8640"/>
        <w:tab w:val="right" w:pos="9360"/>
      </w:tabs>
      <w:rPr>
        <w:rStyle w:val="PageNumbe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B9E20" w14:textId="2C1E7419" w:rsidR="007A4C79" w:rsidRDefault="007A4C79" w:rsidP="00E71B21">
    <w:pPr>
      <w:pStyle w:val="Footer"/>
      <w:pBdr>
        <w:top w:val="single" w:sz="12" w:space="1" w:color="auto"/>
      </w:pBdr>
      <w:tabs>
        <w:tab w:val="clear" w:pos="8640"/>
        <w:tab w:val="right" w:pos="9360"/>
      </w:tabs>
      <w:rPr>
        <w:rStyle w:val="PageNumber"/>
        <w:b/>
        <w:sz w:val="20"/>
      </w:rPr>
    </w:pPr>
    <w:r>
      <w:rPr>
        <w:b/>
        <w:sz w:val="20"/>
      </w:rPr>
      <w:t>User’s Manual</w:t>
    </w:r>
    <w:r>
      <w:rPr>
        <w:b/>
        <w:sz w:val="20"/>
      </w:rPr>
      <w:tab/>
    </w:r>
    <w:r>
      <w:rPr>
        <w:b/>
        <w:sz w:val="20"/>
      </w:rPr>
      <w:tab/>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sidR="00145439">
      <w:rPr>
        <w:rStyle w:val="PageNumber"/>
        <w:b/>
        <w:noProof/>
        <w:sz w:val="20"/>
      </w:rPr>
      <w:t>3-5</w:t>
    </w:r>
    <w:r>
      <w:rPr>
        <w:rStyle w:val="PageNumber"/>
        <w:b/>
        <w:sz w:val="20"/>
      </w:rPr>
      <w:fldChar w:fldCharType="end"/>
    </w:r>
  </w:p>
  <w:p w14:paraId="68391BA3" w14:textId="2D6E312C" w:rsidR="007A4C79" w:rsidRDefault="007A4C79">
    <w:pPr>
      <w:pStyle w:val="Footer"/>
      <w:pBdr>
        <w:top w:val="single" w:sz="12" w:space="1" w:color="auto"/>
      </w:pBdr>
      <w:tabs>
        <w:tab w:val="clear" w:pos="8640"/>
        <w:tab w:val="right" w:pos="9360"/>
      </w:tabs>
      <w:rPr>
        <w:b/>
        <w:sz w:val="20"/>
      </w:rPr>
    </w:pPr>
  </w:p>
  <w:p w14:paraId="71E630CD" w14:textId="77777777" w:rsidR="007A4C79" w:rsidRDefault="007A4C79">
    <w:pPr>
      <w:pStyle w:val="Footer"/>
      <w:pBdr>
        <w:top w:val="single" w:sz="12" w:space="1" w:color="auto"/>
      </w:pBdr>
      <w:tabs>
        <w:tab w:val="clear" w:pos="8640"/>
        <w:tab w:val="right" w:pos="9360"/>
      </w:tabs>
      <w:rPr>
        <w:rStyle w:val="PageNumber"/>
        <w:b/>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D5E20" w14:textId="77777777" w:rsidR="007A4C79" w:rsidRDefault="007A4C79">
    <w:pPr>
      <w:pStyle w:val="Footer"/>
      <w:pBdr>
        <w:top w:val="single" w:sz="12" w:space="1" w:color="auto"/>
      </w:pBdr>
      <w:tabs>
        <w:tab w:val="clear" w:pos="8640"/>
        <w:tab w:val="right" w:pos="9360"/>
      </w:tabs>
      <w:jc w:val="center"/>
      <w:rPr>
        <w:rStyle w:val="PageNumber"/>
        <w:b/>
        <w:sz w:val="20"/>
      </w:rPr>
    </w:pPr>
    <w:r>
      <w:rPr>
        <w:b/>
        <w:sz w:val="20"/>
      </w:rPr>
      <w:t xml:space="preserve">User’s Manual </w:t>
    </w:r>
    <w:r>
      <w:rPr>
        <w:b/>
        <w:sz w:val="20"/>
      </w:rPr>
      <w:tab/>
    </w:r>
    <w:r>
      <w:rPr>
        <w:b/>
        <w:sz w:val="20"/>
      </w:rPr>
      <w:tab/>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sidR="00145439">
      <w:rPr>
        <w:rStyle w:val="PageNumber"/>
        <w:b/>
        <w:noProof/>
        <w:sz w:val="20"/>
      </w:rPr>
      <w:t>4-2</w:t>
    </w:r>
    <w:r>
      <w:rPr>
        <w:rStyle w:val="PageNumber"/>
        <w:b/>
        <w:sz w:val="20"/>
      </w:rPr>
      <w:fldChar w:fldCharType="end"/>
    </w:r>
  </w:p>
  <w:p w14:paraId="6CE0B702" w14:textId="77777777" w:rsidR="007A4C79" w:rsidRDefault="007A4C79">
    <w:pPr>
      <w:pStyle w:val="Footer"/>
      <w:pBdr>
        <w:top w:val="single" w:sz="12" w:space="1" w:color="auto"/>
      </w:pBdr>
      <w:tabs>
        <w:tab w:val="clear" w:pos="8640"/>
        <w:tab w:val="right" w:pos="9360"/>
      </w:tabs>
      <w:rPr>
        <w:rStyle w:val="PageNumber"/>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8CBCF" w14:textId="77777777" w:rsidR="00A524D4" w:rsidRDefault="00A524D4" w:rsidP="007E7A08">
      <w:r>
        <w:separator/>
      </w:r>
    </w:p>
  </w:footnote>
  <w:footnote w:type="continuationSeparator" w:id="0">
    <w:p w14:paraId="4A68ED29" w14:textId="77777777" w:rsidR="00A524D4" w:rsidRDefault="00A524D4" w:rsidP="007E7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20EF9" w14:textId="77777777" w:rsidR="007A4C79" w:rsidRDefault="007A4C79">
    <w:pPr>
      <w:pStyle w:val="Header"/>
      <w:rPr>
        <w:b/>
        <w:sz w:val="20"/>
      </w:rPr>
    </w:pPr>
  </w:p>
  <w:p w14:paraId="01F5178A" w14:textId="77777777" w:rsidR="007A4C79" w:rsidRDefault="007A4C79">
    <w:pPr>
      <w:pStyle w:val="Header"/>
      <w:jc w:val="right"/>
      <w:rPr>
        <w:b/>
        <w:sz w:val="20"/>
      </w:rPr>
    </w:pPr>
    <w:r>
      <w:rPr>
        <w:b/>
        <w:sz w:val="20"/>
      </w:rPr>
      <w:t>Revision Sheet</w:t>
    </w:r>
  </w:p>
  <w:p w14:paraId="3294BBA3" w14:textId="77777777" w:rsidR="007A4C79" w:rsidRDefault="007A4C79">
    <w:pPr>
      <w:pStyle w:val="Header"/>
      <w:pBdr>
        <w:top w:val="single" w:sz="12" w:space="1" w:color="auto"/>
      </w:pBd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BE9E5" w14:textId="77777777" w:rsidR="007A4C79" w:rsidRDefault="007A4C79">
    <w:pPr>
      <w:pStyle w:val="Header"/>
      <w:rPr>
        <w:b/>
        <w:sz w:val="20"/>
      </w:rPr>
    </w:pPr>
  </w:p>
  <w:p w14:paraId="7578B7C0" w14:textId="77777777" w:rsidR="007A4C79" w:rsidRDefault="007A4C79">
    <w:pPr>
      <w:pStyle w:val="Header"/>
      <w:jc w:val="right"/>
      <w:rPr>
        <w:b/>
        <w:sz w:val="20"/>
      </w:rPr>
    </w:pPr>
  </w:p>
  <w:p w14:paraId="332E3E7B" w14:textId="77777777" w:rsidR="007A4C79" w:rsidRDefault="007A4C79">
    <w:pPr>
      <w:pStyle w:val="Header"/>
      <w:pBdr>
        <w:top w:val="single" w:sz="12" w:space="1" w:color="auto"/>
      </w:pBdr>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C35CE" w14:textId="77777777" w:rsidR="007A4C79" w:rsidRDefault="007A4C79">
    <w:pPr>
      <w:pStyle w:val="Header"/>
      <w:rPr>
        <w:b/>
        <w:sz w:val="20"/>
      </w:rPr>
    </w:pPr>
  </w:p>
  <w:p w14:paraId="1EB91A92" w14:textId="77777777" w:rsidR="007A4C79" w:rsidRDefault="007A4C79">
    <w:pPr>
      <w:pStyle w:val="Header"/>
      <w:jc w:val="right"/>
      <w:rPr>
        <w:b/>
        <w:sz w:val="20"/>
      </w:rPr>
    </w:pPr>
    <w:r>
      <w:rPr>
        <w:b/>
        <w:sz w:val="20"/>
      </w:rPr>
      <w:t>1.0 General Information</w:t>
    </w:r>
  </w:p>
  <w:p w14:paraId="3E3D1AE5" w14:textId="77777777" w:rsidR="007A4C79" w:rsidRDefault="007A4C79">
    <w:pPr>
      <w:pStyle w:val="Header"/>
      <w:pBdr>
        <w:top w:val="single" w:sz="12" w:space="1" w:color="auto"/>
      </w:pBdr>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303C3" w14:textId="77777777" w:rsidR="007A4C79" w:rsidRDefault="007A4C79">
    <w:pPr>
      <w:pStyle w:val="Header"/>
      <w:rPr>
        <w:b/>
        <w:sz w:val="20"/>
      </w:rPr>
    </w:pPr>
  </w:p>
  <w:p w14:paraId="2DB4154D" w14:textId="77777777" w:rsidR="007A4C79" w:rsidRDefault="007A4C79">
    <w:pPr>
      <w:pStyle w:val="Header"/>
      <w:jc w:val="right"/>
      <w:rPr>
        <w:b/>
        <w:sz w:val="20"/>
      </w:rPr>
    </w:pPr>
    <w:r>
      <w:rPr>
        <w:b/>
        <w:sz w:val="20"/>
      </w:rPr>
      <w:t>1.0 General Information</w:t>
    </w:r>
  </w:p>
  <w:p w14:paraId="70A1ED0F" w14:textId="77777777" w:rsidR="007A4C79" w:rsidRDefault="007A4C79">
    <w:pPr>
      <w:pStyle w:val="Header"/>
      <w:pBdr>
        <w:top w:val="single" w:sz="12" w:space="1" w:color="auto"/>
      </w:pBdr>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EA06E" w14:textId="77777777" w:rsidR="007A4C79" w:rsidRDefault="007A4C79">
    <w:pPr>
      <w:pStyle w:val="Header"/>
      <w:rPr>
        <w:b/>
        <w:sz w:val="20"/>
      </w:rPr>
    </w:pPr>
  </w:p>
  <w:p w14:paraId="2D8D671E" w14:textId="77777777" w:rsidR="007A4C79" w:rsidRDefault="007A4C79">
    <w:pPr>
      <w:pStyle w:val="Header"/>
      <w:jc w:val="right"/>
      <w:rPr>
        <w:sz w:val="20"/>
      </w:rPr>
    </w:pPr>
    <w:r>
      <w:rPr>
        <w:b/>
        <w:sz w:val="20"/>
      </w:rPr>
      <w:t>2.0 System Summary</w:t>
    </w:r>
  </w:p>
  <w:p w14:paraId="24B9A47F" w14:textId="77777777" w:rsidR="007A4C79" w:rsidRDefault="007A4C79">
    <w:pPr>
      <w:pStyle w:val="Header"/>
      <w:pBdr>
        <w:top w:val="single" w:sz="12" w:space="1" w:color="auto"/>
      </w:pBdr>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586F2" w14:textId="77777777" w:rsidR="007A4C79" w:rsidRDefault="007A4C79">
    <w:pPr>
      <w:pStyle w:val="Header"/>
      <w:rPr>
        <w:b/>
        <w:sz w:val="20"/>
      </w:rPr>
    </w:pPr>
  </w:p>
  <w:p w14:paraId="4606E0BC" w14:textId="77777777" w:rsidR="007A4C79" w:rsidRDefault="007A4C79">
    <w:pPr>
      <w:pStyle w:val="Header"/>
      <w:jc w:val="right"/>
      <w:rPr>
        <w:b/>
        <w:sz w:val="20"/>
      </w:rPr>
    </w:pPr>
    <w:r>
      <w:rPr>
        <w:b/>
        <w:sz w:val="20"/>
      </w:rPr>
      <w:t>2.0 System Summary</w:t>
    </w:r>
  </w:p>
  <w:p w14:paraId="10E85894" w14:textId="77777777" w:rsidR="007A4C79" w:rsidRDefault="007A4C79">
    <w:pPr>
      <w:pStyle w:val="Header"/>
      <w:pBdr>
        <w:top w:val="single" w:sz="12" w:space="1" w:color="auto"/>
      </w:pBdr>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0E957" w14:textId="77777777" w:rsidR="007A4C79" w:rsidRDefault="007A4C79">
    <w:pPr>
      <w:pStyle w:val="Header"/>
      <w:rPr>
        <w:b/>
        <w:sz w:val="20"/>
      </w:rPr>
    </w:pPr>
  </w:p>
  <w:p w14:paraId="140495B6" w14:textId="77777777" w:rsidR="007A4C79" w:rsidRDefault="007A4C79">
    <w:pPr>
      <w:pStyle w:val="Header"/>
      <w:jc w:val="right"/>
      <w:rPr>
        <w:b/>
        <w:sz w:val="20"/>
      </w:rPr>
    </w:pPr>
    <w:r>
      <w:rPr>
        <w:b/>
        <w:sz w:val="20"/>
      </w:rPr>
      <w:t>3.0 Using GRCW Application</w:t>
    </w:r>
  </w:p>
  <w:p w14:paraId="0EF01833" w14:textId="77777777" w:rsidR="007A4C79" w:rsidRDefault="007A4C79">
    <w:pPr>
      <w:pStyle w:val="Header"/>
      <w:pBdr>
        <w:top w:val="single" w:sz="12" w:space="1" w:color="auto"/>
      </w:pBdr>
      <w:rPr>
        <w:b/>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5ACE3" w14:textId="77777777" w:rsidR="007A4C79" w:rsidRDefault="007A4C79">
    <w:pPr>
      <w:pStyle w:val="Header"/>
      <w:rPr>
        <w:b/>
        <w:sz w:val="20"/>
      </w:rPr>
    </w:pPr>
  </w:p>
  <w:p w14:paraId="23940998" w14:textId="77777777" w:rsidR="007A4C79" w:rsidRDefault="007A4C79" w:rsidP="00E71B21">
    <w:pPr>
      <w:pStyle w:val="Header"/>
      <w:jc w:val="right"/>
      <w:rPr>
        <w:b/>
        <w:sz w:val="20"/>
      </w:rPr>
    </w:pPr>
    <w:r>
      <w:rPr>
        <w:b/>
        <w:sz w:val="20"/>
      </w:rPr>
      <w:t>3.0 Using GRCW Application</w:t>
    </w:r>
  </w:p>
  <w:p w14:paraId="410C2AA4" w14:textId="77777777" w:rsidR="007A4C79" w:rsidRDefault="007A4C79">
    <w:pPr>
      <w:pStyle w:val="Header"/>
      <w:pBdr>
        <w:top w:val="single" w:sz="12" w:space="1" w:color="auto"/>
      </w:pBdr>
      <w:rPr>
        <w:sz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7DEE9" w14:textId="77777777" w:rsidR="007A4C79" w:rsidRDefault="007A4C79">
    <w:pPr>
      <w:pStyle w:val="Header"/>
      <w:rPr>
        <w:b/>
        <w:sz w:val="20"/>
      </w:rPr>
    </w:pPr>
  </w:p>
  <w:p w14:paraId="3FDF5222" w14:textId="77777777" w:rsidR="007A4C79" w:rsidRDefault="007A4C79">
    <w:pPr>
      <w:pStyle w:val="Header"/>
      <w:jc w:val="right"/>
      <w:rPr>
        <w:b/>
        <w:sz w:val="20"/>
      </w:rPr>
    </w:pPr>
    <w:r>
      <w:rPr>
        <w:b/>
        <w:sz w:val="20"/>
      </w:rPr>
      <w:t>4.0 Filing a General Rate Case</w:t>
    </w:r>
  </w:p>
  <w:p w14:paraId="755EB2BF" w14:textId="77777777" w:rsidR="007A4C79" w:rsidRDefault="007A4C79">
    <w:pPr>
      <w:pStyle w:val="Header"/>
      <w:pBdr>
        <w:top w:val="single" w:sz="12" w:space="1" w:color="auto"/>
      </w:pBd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media.zones.com/images/static/green-right.png" style="width:18.15pt;height:15.05pt;visibility:visible;mso-wrap-style:square" o:bullet="t">
        <v:imagedata r:id="rId1" o:title="green-right"/>
      </v:shape>
    </w:pict>
  </w:numPicBullet>
  <w:abstractNum w:abstractNumId="0" w15:restartNumberingAfterBreak="0">
    <w:nsid w:val="FFFFFFFB"/>
    <w:multiLevelType w:val="multilevel"/>
    <w:tmpl w:val="968E4B12"/>
    <w:lvl w:ilvl="0">
      <w:start w:val="1"/>
      <w:numFmt w:val="decimal"/>
      <w:pStyle w:val="Heading1"/>
      <w:lvlText w:val="%1.0"/>
      <w:legacy w:legacy="1" w:legacySpace="120" w:legacyIndent="720"/>
      <w:lvlJc w:val="left"/>
      <w:pPr>
        <w:ind w:left="720" w:hanging="720"/>
      </w:pPr>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FFFFFFFE"/>
    <w:multiLevelType w:val="singleLevel"/>
    <w:tmpl w:val="4A5E5416"/>
    <w:lvl w:ilvl="0">
      <w:numFmt w:val="decimal"/>
      <w:lvlText w:val="*"/>
      <w:lvlJc w:val="left"/>
    </w:lvl>
  </w:abstractNum>
  <w:abstractNum w:abstractNumId="2" w15:restartNumberingAfterBreak="0">
    <w:nsid w:val="083F032D"/>
    <w:multiLevelType w:val="hybridMultilevel"/>
    <w:tmpl w:val="266C7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F4746"/>
    <w:multiLevelType w:val="hybridMultilevel"/>
    <w:tmpl w:val="BD584C1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5930AC"/>
    <w:multiLevelType w:val="hybridMultilevel"/>
    <w:tmpl w:val="CC3E17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B03A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2677762"/>
    <w:multiLevelType w:val="hybridMultilevel"/>
    <w:tmpl w:val="9172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9549F"/>
    <w:multiLevelType w:val="hybridMultilevel"/>
    <w:tmpl w:val="2068B10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A72BDF"/>
    <w:multiLevelType w:val="hybridMultilevel"/>
    <w:tmpl w:val="2ED65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CD5738"/>
    <w:multiLevelType w:val="hybridMultilevel"/>
    <w:tmpl w:val="77DEE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3">
    <w:abstractNumId w:val="1"/>
    <w:lvlOverride w:ilvl="0">
      <w:lvl w:ilvl="0">
        <w:start w:val="1"/>
        <w:numFmt w:val="bullet"/>
        <w:lvlText w:val=""/>
        <w:legacy w:legacy="1" w:legacySpace="0" w:legacyIndent="720"/>
        <w:lvlJc w:val="left"/>
        <w:pPr>
          <w:ind w:left="1440" w:hanging="720"/>
        </w:pPr>
        <w:rPr>
          <w:rFonts w:ascii="Symbol" w:hAnsi="Symbol" w:hint="default"/>
          <w:sz w:val="24"/>
        </w:rPr>
      </w:lvl>
    </w:lvlOverride>
  </w:num>
  <w:num w:numId="4">
    <w:abstractNumId w:val="2"/>
  </w:num>
  <w:num w:numId="5">
    <w:abstractNumId w:val="6"/>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7"/>
  </w:num>
  <w:num w:numId="16">
    <w:abstractNumId w:val="0"/>
  </w:num>
  <w:num w:numId="17">
    <w:abstractNumId w:val="0"/>
  </w:num>
  <w:num w:numId="18">
    <w:abstractNumId w:val="8"/>
  </w:num>
  <w:num w:numId="19">
    <w:abstractNumId w:val="4"/>
  </w:num>
  <w:num w:numId="20">
    <w:abstractNumId w:val="5"/>
  </w:num>
  <w:num w:numId="21">
    <w:abstractNumId w:val="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3E3"/>
    <w:rsid w:val="00011B94"/>
    <w:rsid w:val="000135C5"/>
    <w:rsid w:val="0002219D"/>
    <w:rsid w:val="00022E61"/>
    <w:rsid w:val="00025B93"/>
    <w:rsid w:val="00035141"/>
    <w:rsid w:val="0004123E"/>
    <w:rsid w:val="000754B4"/>
    <w:rsid w:val="00081ECA"/>
    <w:rsid w:val="0008775F"/>
    <w:rsid w:val="00097188"/>
    <w:rsid w:val="000A782E"/>
    <w:rsid w:val="000B3E40"/>
    <w:rsid w:val="000D47BB"/>
    <w:rsid w:val="000F3ABE"/>
    <w:rsid w:val="000F7674"/>
    <w:rsid w:val="001265F3"/>
    <w:rsid w:val="00127E52"/>
    <w:rsid w:val="0014093E"/>
    <w:rsid w:val="00142F8F"/>
    <w:rsid w:val="00143BAB"/>
    <w:rsid w:val="00145439"/>
    <w:rsid w:val="0016053A"/>
    <w:rsid w:val="0016294D"/>
    <w:rsid w:val="001814F9"/>
    <w:rsid w:val="00191FB2"/>
    <w:rsid w:val="001A3FAE"/>
    <w:rsid w:val="001D4F92"/>
    <w:rsid w:val="001E4FA6"/>
    <w:rsid w:val="00200B3D"/>
    <w:rsid w:val="00202104"/>
    <w:rsid w:val="00204C8E"/>
    <w:rsid w:val="00211DD3"/>
    <w:rsid w:val="00215D32"/>
    <w:rsid w:val="00226C46"/>
    <w:rsid w:val="0025300E"/>
    <w:rsid w:val="002544B3"/>
    <w:rsid w:val="00266544"/>
    <w:rsid w:val="002666A5"/>
    <w:rsid w:val="00267B14"/>
    <w:rsid w:val="002757F7"/>
    <w:rsid w:val="002921FD"/>
    <w:rsid w:val="002B6246"/>
    <w:rsid w:val="002C19C9"/>
    <w:rsid w:val="002C66A7"/>
    <w:rsid w:val="002D6CD2"/>
    <w:rsid w:val="002D741E"/>
    <w:rsid w:val="002E05E9"/>
    <w:rsid w:val="002E156B"/>
    <w:rsid w:val="002E7759"/>
    <w:rsid w:val="0030597D"/>
    <w:rsid w:val="00343C9C"/>
    <w:rsid w:val="0035603D"/>
    <w:rsid w:val="00373AD6"/>
    <w:rsid w:val="00380F02"/>
    <w:rsid w:val="00387A46"/>
    <w:rsid w:val="00391970"/>
    <w:rsid w:val="003A0439"/>
    <w:rsid w:val="003A0885"/>
    <w:rsid w:val="003A2000"/>
    <w:rsid w:val="003A45D8"/>
    <w:rsid w:val="003A5F05"/>
    <w:rsid w:val="003B1D7D"/>
    <w:rsid w:val="003C1166"/>
    <w:rsid w:val="003F2589"/>
    <w:rsid w:val="00404D25"/>
    <w:rsid w:val="00406DB6"/>
    <w:rsid w:val="004111D3"/>
    <w:rsid w:val="00416C55"/>
    <w:rsid w:val="004171C7"/>
    <w:rsid w:val="00420DF1"/>
    <w:rsid w:val="00434BE0"/>
    <w:rsid w:val="0043575E"/>
    <w:rsid w:val="004403E3"/>
    <w:rsid w:val="00464192"/>
    <w:rsid w:val="00467C50"/>
    <w:rsid w:val="004811CF"/>
    <w:rsid w:val="00484D0B"/>
    <w:rsid w:val="00490504"/>
    <w:rsid w:val="00493B10"/>
    <w:rsid w:val="004A404F"/>
    <w:rsid w:val="004B79B7"/>
    <w:rsid w:val="004C47B6"/>
    <w:rsid w:val="004D0EE2"/>
    <w:rsid w:val="004D1C19"/>
    <w:rsid w:val="004D1F29"/>
    <w:rsid w:val="004E05D5"/>
    <w:rsid w:val="004E374C"/>
    <w:rsid w:val="004F2B1A"/>
    <w:rsid w:val="004F55C2"/>
    <w:rsid w:val="004F66BC"/>
    <w:rsid w:val="004F6764"/>
    <w:rsid w:val="0050318A"/>
    <w:rsid w:val="00507A1D"/>
    <w:rsid w:val="005101E4"/>
    <w:rsid w:val="005165E6"/>
    <w:rsid w:val="005222B9"/>
    <w:rsid w:val="0052677A"/>
    <w:rsid w:val="00546FF1"/>
    <w:rsid w:val="005575A6"/>
    <w:rsid w:val="00572621"/>
    <w:rsid w:val="005856EA"/>
    <w:rsid w:val="005876CE"/>
    <w:rsid w:val="00597C2F"/>
    <w:rsid w:val="005A51E9"/>
    <w:rsid w:val="005A7231"/>
    <w:rsid w:val="005A7E0B"/>
    <w:rsid w:val="005B5CA5"/>
    <w:rsid w:val="005C1459"/>
    <w:rsid w:val="005C4E10"/>
    <w:rsid w:val="005D1C44"/>
    <w:rsid w:val="005E519D"/>
    <w:rsid w:val="00607E90"/>
    <w:rsid w:val="00660A53"/>
    <w:rsid w:val="00663F7F"/>
    <w:rsid w:val="0066677F"/>
    <w:rsid w:val="00670AA5"/>
    <w:rsid w:val="006869AD"/>
    <w:rsid w:val="00686C01"/>
    <w:rsid w:val="00692584"/>
    <w:rsid w:val="006939BD"/>
    <w:rsid w:val="0069735A"/>
    <w:rsid w:val="006A7573"/>
    <w:rsid w:val="006C3E94"/>
    <w:rsid w:val="006D0665"/>
    <w:rsid w:val="006D243E"/>
    <w:rsid w:val="006D73E3"/>
    <w:rsid w:val="00701DFB"/>
    <w:rsid w:val="007048B6"/>
    <w:rsid w:val="00704A5A"/>
    <w:rsid w:val="00717D57"/>
    <w:rsid w:val="0072190B"/>
    <w:rsid w:val="007301C4"/>
    <w:rsid w:val="007345A2"/>
    <w:rsid w:val="00735A9B"/>
    <w:rsid w:val="00743F2B"/>
    <w:rsid w:val="007668D5"/>
    <w:rsid w:val="00772632"/>
    <w:rsid w:val="00781A2A"/>
    <w:rsid w:val="00793A3B"/>
    <w:rsid w:val="007A1A66"/>
    <w:rsid w:val="007A4C79"/>
    <w:rsid w:val="007B438A"/>
    <w:rsid w:val="007C1398"/>
    <w:rsid w:val="007C4637"/>
    <w:rsid w:val="007D578D"/>
    <w:rsid w:val="007E7A08"/>
    <w:rsid w:val="007F30DF"/>
    <w:rsid w:val="00800213"/>
    <w:rsid w:val="00804DE3"/>
    <w:rsid w:val="00812183"/>
    <w:rsid w:val="00816B95"/>
    <w:rsid w:val="008266CC"/>
    <w:rsid w:val="00837BEC"/>
    <w:rsid w:val="00872A02"/>
    <w:rsid w:val="00875CE1"/>
    <w:rsid w:val="0088248C"/>
    <w:rsid w:val="00887030"/>
    <w:rsid w:val="008A0F42"/>
    <w:rsid w:val="008A1B7C"/>
    <w:rsid w:val="008B6D82"/>
    <w:rsid w:val="008E382C"/>
    <w:rsid w:val="00903F90"/>
    <w:rsid w:val="0090634D"/>
    <w:rsid w:val="00941044"/>
    <w:rsid w:val="00944150"/>
    <w:rsid w:val="00947BA4"/>
    <w:rsid w:val="00960624"/>
    <w:rsid w:val="009834A4"/>
    <w:rsid w:val="00985D3B"/>
    <w:rsid w:val="0098788D"/>
    <w:rsid w:val="009A59F3"/>
    <w:rsid w:val="009B3456"/>
    <w:rsid w:val="009C2521"/>
    <w:rsid w:val="009D079D"/>
    <w:rsid w:val="009E1F15"/>
    <w:rsid w:val="009E3D78"/>
    <w:rsid w:val="00A0773C"/>
    <w:rsid w:val="00A100A9"/>
    <w:rsid w:val="00A1244B"/>
    <w:rsid w:val="00A24077"/>
    <w:rsid w:val="00A2795B"/>
    <w:rsid w:val="00A524D4"/>
    <w:rsid w:val="00A61763"/>
    <w:rsid w:val="00A723E9"/>
    <w:rsid w:val="00A73DCB"/>
    <w:rsid w:val="00A92BD5"/>
    <w:rsid w:val="00AB1A83"/>
    <w:rsid w:val="00AB291D"/>
    <w:rsid w:val="00AC1F61"/>
    <w:rsid w:val="00AD3245"/>
    <w:rsid w:val="00AD6C70"/>
    <w:rsid w:val="00AE61DE"/>
    <w:rsid w:val="00B01DED"/>
    <w:rsid w:val="00B0314D"/>
    <w:rsid w:val="00B03E2B"/>
    <w:rsid w:val="00B214D8"/>
    <w:rsid w:val="00B4452F"/>
    <w:rsid w:val="00B549E8"/>
    <w:rsid w:val="00B57637"/>
    <w:rsid w:val="00B57DCD"/>
    <w:rsid w:val="00B67424"/>
    <w:rsid w:val="00B900BF"/>
    <w:rsid w:val="00BA529D"/>
    <w:rsid w:val="00BC2F62"/>
    <w:rsid w:val="00BC5139"/>
    <w:rsid w:val="00BC64DB"/>
    <w:rsid w:val="00BC74F9"/>
    <w:rsid w:val="00BE1E3D"/>
    <w:rsid w:val="00BE392F"/>
    <w:rsid w:val="00BF7A6D"/>
    <w:rsid w:val="00C3676E"/>
    <w:rsid w:val="00C422BF"/>
    <w:rsid w:val="00C44DBC"/>
    <w:rsid w:val="00C65026"/>
    <w:rsid w:val="00C7330D"/>
    <w:rsid w:val="00C95EC9"/>
    <w:rsid w:val="00CA0413"/>
    <w:rsid w:val="00CB30D1"/>
    <w:rsid w:val="00CC390D"/>
    <w:rsid w:val="00CD69E7"/>
    <w:rsid w:val="00CF2159"/>
    <w:rsid w:val="00D012C5"/>
    <w:rsid w:val="00D04DC2"/>
    <w:rsid w:val="00D05EFD"/>
    <w:rsid w:val="00D10CDB"/>
    <w:rsid w:val="00D1412B"/>
    <w:rsid w:val="00D1418F"/>
    <w:rsid w:val="00D14D1D"/>
    <w:rsid w:val="00D20E46"/>
    <w:rsid w:val="00D22C48"/>
    <w:rsid w:val="00D354D4"/>
    <w:rsid w:val="00D477C4"/>
    <w:rsid w:val="00D73106"/>
    <w:rsid w:val="00D80F28"/>
    <w:rsid w:val="00D922BE"/>
    <w:rsid w:val="00DA264C"/>
    <w:rsid w:val="00DA7422"/>
    <w:rsid w:val="00DB7CD8"/>
    <w:rsid w:val="00DC28D2"/>
    <w:rsid w:val="00DD1520"/>
    <w:rsid w:val="00DD1D55"/>
    <w:rsid w:val="00DD4ACA"/>
    <w:rsid w:val="00E0279F"/>
    <w:rsid w:val="00E0304A"/>
    <w:rsid w:val="00E03521"/>
    <w:rsid w:val="00E24C50"/>
    <w:rsid w:val="00E4384F"/>
    <w:rsid w:val="00E51501"/>
    <w:rsid w:val="00E53348"/>
    <w:rsid w:val="00E55C4F"/>
    <w:rsid w:val="00E71B21"/>
    <w:rsid w:val="00E744AD"/>
    <w:rsid w:val="00E9392D"/>
    <w:rsid w:val="00EA1705"/>
    <w:rsid w:val="00EC131F"/>
    <w:rsid w:val="00EC6A6D"/>
    <w:rsid w:val="00EE7203"/>
    <w:rsid w:val="00EF669E"/>
    <w:rsid w:val="00F0127A"/>
    <w:rsid w:val="00F0679D"/>
    <w:rsid w:val="00F22835"/>
    <w:rsid w:val="00F325B6"/>
    <w:rsid w:val="00F47BE0"/>
    <w:rsid w:val="00F57B3B"/>
    <w:rsid w:val="00F6430D"/>
    <w:rsid w:val="00F730B2"/>
    <w:rsid w:val="00F9254B"/>
    <w:rsid w:val="00FA6A38"/>
    <w:rsid w:val="00FC0714"/>
    <w:rsid w:val="00FC0D08"/>
    <w:rsid w:val="00FC6B6D"/>
    <w:rsid w:val="00FD066C"/>
    <w:rsid w:val="00FD57B9"/>
    <w:rsid w:val="00FF4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D80A02"/>
  <w15:docId w15:val="{9EB6BA3B-FAEA-47D3-9BFC-FB74C581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D0B"/>
    <w:pPr>
      <w:overflowPunct w:val="0"/>
      <w:autoSpaceDE w:val="0"/>
      <w:autoSpaceDN w:val="0"/>
      <w:adjustRightInd w:val="0"/>
      <w:textAlignment w:val="baseline"/>
    </w:pPr>
    <w:rPr>
      <w:sz w:val="22"/>
    </w:rPr>
  </w:style>
  <w:style w:type="paragraph" w:styleId="Heading1">
    <w:name w:val="heading 1"/>
    <w:basedOn w:val="Normal"/>
    <w:next w:val="Normal"/>
    <w:qFormat/>
    <w:rsid w:val="00484D0B"/>
    <w:pPr>
      <w:keepNext/>
      <w:numPr>
        <w:numId w:val="1"/>
      </w:numPr>
      <w:tabs>
        <w:tab w:val="left" w:pos="720"/>
      </w:tabs>
      <w:spacing w:before="240" w:after="60"/>
      <w:outlineLvl w:val="0"/>
    </w:pPr>
    <w:rPr>
      <w:rFonts w:ascii="Arial" w:hAnsi="Arial"/>
      <w:b/>
      <w:caps/>
      <w:kern w:val="28"/>
      <w:sz w:val="28"/>
    </w:rPr>
  </w:style>
  <w:style w:type="paragraph" w:styleId="Heading2">
    <w:name w:val="heading 2"/>
    <w:basedOn w:val="Normal"/>
    <w:next w:val="Normal"/>
    <w:qFormat/>
    <w:rsid w:val="00484D0B"/>
    <w:pPr>
      <w:keepNext/>
      <w:numPr>
        <w:ilvl w:val="1"/>
        <w:numId w:val="1"/>
      </w:numPr>
      <w:spacing w:before="240" w:after="60"/>
      <w:outlineLvl w:val="1"/>
    </w:pPr>
    <w:rPr>
      <w:rFonts w:ascii="Arial" w:hAnsi="Arial"/>
      <w:b/>
      <w:sz w:val="28"/>
    </w:rPr>
  </w:style>
  <w:style w:type="paragraph" w:styleId="Heading3">
    <w:name w:val="heading 3"/>
    <w:basedOn w:val="Normal"/>
    <w:next w:val="Normal"/>
    <w:qFormat/>
    <w:rsid w:val="00484D0B"/>
    <w:pPr>
      <w:keepNext/>
      <w:numPr>
        <w:ilvl w:val="2"/>
        <w:numId w:val="1"/>
      </w:numPr>
      <w:spacing w:before="240" w:after="60"/>
      <w:outlineLvl w:val="2"/>
    </w:pPr>
    <w:rPr>
      <w:rFonts w:ascii="Arial" w:hAnsi="Arial"/>
      <w:b/>
      <w:sz w:val="24"/>
    </w:rPr>
  </w:style>
  <w:style w:type="paragraph" w:styleId="Heading4">
    <w:name w:val="heading 4"/>
    <w:basedOn w:val="Normal"/>
    <w:next w:val="Normal"/>
    <w:qFormat/>
    <w:rsid w:val="00484D0B"/>
    <w:pPr>
      <w:keepNext/>
      <w:numPr>
        <w:ilvl w:val="3"/>
        <w:numId w:val="1"/>
      </w:numPr>
      <w:spacing w:before="240" w:after="60"/>
      <w:outlineLvl w:val="3"/>
    </w:pPr>
    <w:rPr>
      <w:rFonts w:ascii="Arial" w:hAnsi="Arial"/>
      <w:i/>
    </w:rPr>
  </w:style>
  <w:style w:type="paragraph" w:styleId="Heading5">
    <w:name w:val="heading 5"/>
    <w:basedOn w:val="Normal"/>
    <w:next w:val="Normal"/>
    <w:qFormat/>
    <w:rsid w:val="00484D0B"/>
    <w:pPr>
      <w:numPr>
        <w:ilvl w:val="4"/>
        <w:numId w:val="1"/>
      </w:numPr>
      <w:spacing w:before="240" w:after="60"/>
      <w:outlineLvl w:val="4"/>
    </w:pPr>
    <w:rPr>
      <w:rFonts w:ascii="Arial" w:hAnsi="Arial"/>
      <w:b/>
    </w:rPr>
  </w:style>
  <w:style w:type="paragraph" w:styleId="Heading6">
    <w:name w:val="heading 6"/>
    <w:basedOn w:val="Normal"/>
    <w:next w:val="Normal"/>
    <w:qFormat/>
    <w:rsid w:val="00484D0B"/>
    <w:pPr>
      <w:numPr>
        <w:ilvl w:val="5"/>
        <w:numId w:val="1"/>
      </w:numPr>
      <w:spacing w:before="240" w:after="60"/>
      <w:outlineLvl w:val="5"/>
    </w:pPr>
    <w:rPr>
      <w:i/>
    </w:rPr>
  </w:style>
  <w:style w:type="paragraph" w:styleId="Heading7">
    <w:name w:val="heading 7"/>
    <w:basedOn w:val="Normal"/>
    <w:next w:val="Normal"/>
    <w:qFormat/>
    <w:rsid w:val="00484D0B"/>
    <w:pPr>
      <w:numPr>
        <w:ilvl w:val="6"/>
        <w:numId w:val="1"/>
      </w:numPr>
      <w:spacing w:before="240" w:after="60"/>
      <w:outlineLvl w:val="6"/>
    </w:pPr>
    <w:rPr>
      <w:rFonts w:ascii="Arial" w:hAnsi="Arial"/>
      <w:sz w:val="20"/>
    </w:rPr>
  </w:style>
  <w:style w:type="paragraph" w:styleId="Heading8">
    <w:name w:val="heading 8"/>
    <w:basedOn w:val="Normal"/>
    <w:next w:val="Normal"/>
    <w:qFormat/>
    <w:rsid w:val="00484D0B"/>
    <w:pPr>
      <w:numPr>
        <w:ilvl w:val="7"/>
        <w:numId w:val="1"/>
      </w:numPr>
      <w:spacing w:before="240" w:after="60"/>
      <w:outlineLvl w:val="7"/>
    </w:pPr>
    <w:rPr>
      <w:rFonts w:ascii="Arial" w:hAnsi="Arial"/>
      <w:i/>
      <w:sz w:val="20"/>
    </w:rPr>
  </w:style>
  <w:style w:type="paragraph" w:styleId="Heading9">
    <w:name w:val="heading 9"/>
    <w:basedOn w:val="Normal"/>
    <w:next w:val="Normal"/>
    <w:qFormat/>
    <w:rsid w:val="00484D0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84D0B"/>
    <w:pPr>
      <w:tabs>
        <w:tab w:val="center" w:pos="4320"/>
        <w:tab w:val="right" w:pos="8640"/>
      </w:tabs>
    </w:pPr>
  </w:style>
  <w:style w:type="paragraph" w:styleId="Footer">
    <w:name w:val="footer"/>
    <w:basedOn w:val="Normal"/>
    <w:semiHidden/>
    <w:rsid w:val="00484D0B"/>
    <w:pPr>
      <w:tabs>
        <w:tab w:val="center" w:pos="4320"/>
        <w:tab w:val="right" w:pos="8640"/>
      </w:tabs>
    </w:pPr>
  </w:style>
  <w:style w:type="character" w:styleId="PageNumber">
    <w:name w:val="page number"/>
    <w:basedOn w:val="DefaultParagraphFont"/>
    <w:semiHidden/>
    <w:rsid w:val="00484D0B"/>
  </w:style>
  <w:style w:type="paragraph" w:styleId="TOC1">
    <w:name w:val="toc 1"/>
    <w:basedOn w:val="Normal"/>
    <w:next w:val="Normal"/>
    <w:uiPriority w:val="39"/>
    <w:rsid w:val="00484D0B"/>
    <w:pPr>
      <w:tabs>
        <w:tab w:val="right" w:leader="dot" w:pos="9360"/>
      </w:tabs>
      <w:spacing w:before="120"/>
    </w:pPr>
    <w:rPr>
      <w:b/>
      <w:i/>
    </w:rPr>
  </w:style>
  <w:style w:type="paragraph" w:styleId="TOC2">
    <w:name w:val="toc 2"/>
    <w:basedOn w:val="Normal"/>
    <w:next w:val="Normal"/>
    <w:uiPriority w:val="39"/>
    <w:rsid w:val="00484D0B"/>
    <w:pPr>
      <w:tabs>
        <w:tab w:val="right" w:leader="dot" w:pos="9360"/>
      </w:tabs>
      <w:spacing w:before="120"/>
      <w:ind w:left="240"/>
    </w:pPr>
    <w:rPr>
      <w:b/>
    </w:rPr>
  </w:style>
  <w:style w:type="paragraph" w:styleId="TOC3">
    <w:name w:val="toc 3"/>
    <w:basedOn w:val="Normal"/>
    <w:next w:val="Normal"/>
    <w:uiPriority w:val="39"/>
    <w:rsid w:val="00484D0B"/>
    <w:pPr>
      <w:tabs>
        <w:tab w:val="right" w:leader="dot" w:pos="9360"/>
      </w:tabs>
      <w:ind w:left="480"/>
    </w:pPr>
    <w:rPr>
      <w:sz w:val="20"/>
    </w:rPr>
  </w:style>
  <w:style w:type="paragraph" w:styleId="TOC4">
    <w:name w:val="toc 4"/>
    <w:basedOn w:val="Normal"/>
    <w:next w:val="Normal"/>
    <w:semiHidden/>
    <w:rsid w:val="00484D0B"/>
    <w:pPr>
      <w:tabs>
        <w:tab w:val="right" w:leader="dot" w:pos="9360"/>
      </w:tabs>
      <w:ind w:left="720"/>
    </w:pPr>
    <w:rPr>
      <w:sz w:val="20"/>
    </w:rPr>
  </w:style>
  <w:style w:type="paragraph" w:styleId="TOC5">
    <w:name w:val="toc 5"/>
    <w:basedOn w:val="Normal"/>
    <w:next w:val="Normal"/>
    <w:semiHidden/>
    <w:rsid w:val="00484D0B"/>
    <w:pPr>
      <w:tabs>
        <w:tab w:val="right" w:leader="dot" w:pos="9360"/>
      </w:tabs>
      <w:ind w:left="960"/>
    </w:pPr>
    <w:rPr>
      <w:sz w:val="20"/>
    </w:rPr>
  </w:style>
  <w:style w:type="paragraph" w:styleId="TOC6">
    <w:name w:val="toc 6"/>
    <w:basedOn w:val="Normal"/>
    <w:next w:val="Normal"/>
    <w:semiHidden/>
    <w:rsid w:val="00484D0B"/>
    <w:pPr>
      <w:tabs>
        <w:tab w:val="right" w:leader="dot" w:pos="9360"/>
      </w:tabs>
      <w:ind w:left="1200"/>
    </w:pPr>
    <w:rPr>
      <w:sz w:val="20"/>
    </w:rPr>
  </w:style>
  <w:style w:type="paragraph" w:styleId="TOC7">
    <w:name w:val="toc 7"/>
    <w:basedOn w:val="Normal"/>
    <w:next w:val="Normal"/>
    <w:semiHidden/>
    <w:rsid w:val="00484D0B"/>
    <w:pPr>
      <w:tabs>
        <w:tab w:val="right" w:leader="dot" w:pos="9360"/>
      </w:tabs>
      <w:ind w:left="1440"/>
    </w:pPr>
    <w:rPr>
      <w:sz w:val="20"/>
    </w:rPr>
  </w:style>
  <w:style w:type="paragraph" w:styleId="TOC8">
    <w:name w:val="toc 8"/>
    <w:basedOn w:val="Normal"/>
    <w:next w:val="Normal"/>
    <w:semiHidden/>
    <w:rsid w:val="00484D0B"/>
    <w:pPr>
      <w:tabs>
        <w:tab w:val="right" w:leader="dot" w:pos="9360"/>
      </w:tabs>
      <w:ind w:left="1680"/>
    </w:pPr>
    <w:rPr>
      <w:sz w:val="20"/>
    </w:rPr>
  </w:style>
  <w:style w:type="paragraph" w:styleId="TOC9">
    <w:name w:val="toc 9"/>
    <w:basedOn w:val="Normal"/>
    <w:next w:val="Normal"/>
    <w:semiHidden/>
    <w:rsid w:val="00484D0B"/>
    <w:pPr>
      <w:tabs>
        <w:tab w:val="right" w:leader="dot" w:pos="9360"/>
      </w:tabs>
      <w:ind w:left="1920"/>
    </w:pPr>
    <w:rPr>
      <w:sz w:val="20"/>
    </w:rPr>
  </w:style>
  <w:style w:type="character" w:styleId="Hyperlink">
    <w:name w:val="Hyperlink"/>
    <w:basedOn w:val="DefaultParagraphFont"/>
    <w:semiHidden/>
    <w:rsid w:val="00484D0B"/>
    <w:rPr>
      <w:color w:val="0000FF"/>
      <w:u w:val="single"/>
    </w:rPr>
  </w:style>
  <w:style w:type="paragraph" w:customStyle="1" w:styleId="bullet2">
    <w:name w:val="bullet2"/>
    <w:basedOn w:val="Normal"/>
    <w:rsid w:val="00484D0B"/>
    <w:pPr>
      <w:tabs>
        <w:tab w:val="left" w:pos="1440"/>
      </w:tabs>
      <w:spacing w:before="60" w:after="60"/>
      <w:ind w:left="1440" w:hanging="720"/>
    </w:pPr>
  </w:style>
  <w:style w:type="paragraph" w:customStyle="1" w:styleId="bullet">
    <w:name w:val="bullet"/>
    <w:basedOn w:val="Normal"/>
    <w:rsid w:val="00484D0B"/>
    <w:pPr>
      <w:spacing w:before="60" w:after="60"/>
      <w:ind w:left="720" w:hanging="720"/>
    </w:pPr>
  </w:style>
  <w:style w:type="character" w:styleId="FollowedHyperlink">
    <w:name w:val="FollowedHyperlink"/>
    <w:basedOn w:val="DefaultParagraphFont"/>
    <w:uiPriority w:val="99"/>
    <w:semiHidden/>
    <w:unhideWhenUsed/>
    <w:rsid w:val="007C4637"/>
    <w:rPr>
      <w:color w:val="800080" w:themeColor="followedHyperlink"/>
      <w:u w:val="single"/>
    </w:rPr>
  </w:style>
  <w:style w:type="paragraph" w:styleId="BalloonText">
    <w:name w:val="Balloon Text"/>
    <w:basedOn w:val="Normal"/>
    <w:link w:val="BalloonTextChar"/>
    <w:uiPriority w:val="99"/>
    <w:semiHidden/>
    <w:unhideWhenUsed/>
    <w:rsid w:val="00B549E8"/>
    <w:rPr>
      <w:rFonts w:ascii="Tahoma" w:hAnsi="Tahoma" w:cs="Tahoma"/>
      <w:sz w:val="16"/>
      <w:szCs w:val="16"/>
    </w:rPr>
  </w:style>
  <w:style w:type="character" w:customStyle="1" w:styleId="BalloonTextChar">
    <w:name w:val="Balloon Text Char"/>
    <w:basedOn w:val="DefaultParagraphFont"/>
    <w:link w:val="BalloonText"/>
    <w:uiPriority w:val="99"/>
    <w:semiHidden/>
    <w:rsid w:val="00B549E8"/>
    <w:rPr>
      <w:rFonts w:ascii="Tahoma" w:hAnsi="Tahoma" w:cs="Tahoma"/>
      <w:sz w:val="16"/>
      <w:szCs w:val="16"/>
    </w:rPr>
  </w:style>
  <w:style w:type="paragraph" w:styleId="ListParagraph">
    <w:name w:val="List Paragraph"/>
    <w:basedOn w:val="Normal"/>
    <w:uiPriority w:val="34"/>
    <w:qFormat/>
    <w:rsid w:val="002757F7"/>
    <w:pPr>
      <w:ind w:left="720"/>
      <w:contextualSpacing/>
    </w:pPr>
  </w:style>
  <w:style w:type="character" w:styleId="CommentReference">
    <w:name w:val="annotation reference"/>
    <w:basedOn w:val="DefaultParagraphFont"/>
    <w:uiPriority w:val="99"/>
    <w:semiHidden/>
    <w:unhideWhenUsed/>
    <w:rsid w:val="00081ECA"/>
    <w:rPr>
      <w:sz w:val="16"/>
      <w:szCs w:val="16"/>
    </w:rPr>
  </w:style>
  <w:style w:type="paragraph" w:styleId="CommentText">
    <w:name w:val="annotation text"/>
    <w:basedOn w:val="Normal"/>
    <w:link w:val="CommentTextChar"/>
    <w:uiPriority w:val="99"/>
    <w:semiHidden/>
    <w:unhideWhenUsed/>
    <w:rsid w:val="00081ECA"/>
    <w:rPr>
      <w:sz w:val="20"/>
    </w:rPr>
  </w:style>
  <w:style w:type="character" w:customStyle="1" w:styleId="CommentTextChar">
    <w:name w:val="Comment Text Char"/>
    <w:basedOn w:val="DefaultParagraphFont"/>
    <w:link w:val="CommentText"/>
    <w:uiPriority w:val="99"/>
    <w:semiHidden/>
    <w:rsid w:val="00081ECA"/>
  </w:style>
  <w:style w:type="paragraph" w:styleId="CommentSubject">
    <w:name w:val="annotation subject"/>
    <w:basedOn w:val="CommentText"/>
    <w:next w:val="CommentText"/>
    <w:link w:val="CommentSubjectChar"/>
    <w:uiPriority w:val="99"/>
    <w:semiHidden/>
    <w:unhideWhenUsed/>
    <w:rsid w:val="00081ECA"/>
    <w:rPr>
      <w:b/>
      <w:bCs/>
    </w:rPr>
  </w:style>
  <w:style w:type="character" w:customStyle="1" w:styleId="CommentSubjectChar">
    <w:name w:val="Comment Subject Char"/>
    <w:basedOn w:val="CommentTextChar"/>
    <w:link w:val="CommentSubject"/>
    <w:uiPriority w:val="99"/>
    <w:semiHidden/>
    <w:rsid w:val="00081ECA"/>
    <w:rPr>
      <w:b/>
      <w:bCs/>
    </w:rPr>
  </w:style>
  <w:style w:type="character" w:styleId="Strong">
    <w:name w:val="Strong"/>
    <w:basedOn w:val="DefaultParagraphFont"/>
    <w:uiPriority w:val="22"/>
    <w:qFormat/>
    <w:rsid w:val="00663F7F"/>
    <w:rPr>
      <w:b/>
      <w:bCs/>
    </w:rPr>
  </w:style>
  <w:style w:type="character" w:customStyle="1" w:styleId="apple-converted-space">
    <w:name w:val="apple-converted-space"/>
    <w:basedOn w:val="DefaultParagraphFont"/>
    <w:rsid w:val="00663F7F"/>
  </w:style>
  <w:style w:type="paragraph" w:customStyle="1" w:styleId="titlelines">
    <w:name w:val="titlelines"/>
    <w:basedOn w:val="Normal"/>
    <w:rsid w:val="00663F7F"/>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212822">
      <w:bodyDiv w:val="1"/>
      <w:marLeft w:val="0"/>
      <w:marRight w:val="0"/>
      <w:marTop w:val="0"/>
      <w:marBottom w:val="0"/>
      <w:divBdr>
        <w:top w:val="none" w:sz="0" w:space="0" w:color="auto"/>
        <w:left w:val="none" w:sz="0" w:space="0" w:color="auto"/>
        <w:bottom w:val="none" w:sz="0" w:space="0" w:color="auto"/>
        <w:right w:val="none" w:sz="0" w:space="0" w:color="auto"/>
      </w:divBdr>
    </w:div>
    <w:div w:id="1372681458">
      <w:bodyDiv w:val="1"/>
      <w:marLeft w:val="0"/>
      <w:marRight w:val="0"/>
      <w:marTop w:val="0"/>
      <w:marBottom w:val="0"/>
      <w:divBdr>
        <w:top w:val="none" w:sz="0" w:space="0" w:color="auto"/>
        <w:left w:val="none" w:sz="0" w:space="0" w:color="auto"/>
        <w:bottom w:val="none" w:sz="0" w:space="0" w:color="auto"/>
        <w:right w:val="none" w:sz="0" w:space="0" w:color="auto"/>
      </w:divBdr>
    </w:div>
    <w:div w:id="191689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ebsite.utc.wa.gov/regulatedIndustries/utilities/Documents/glossary.pdf" TargetMode="External"/><Relationship Id="rId26" Type="http://schemas.openxmlformats.org/officeDocument/2006/relationships/image" Target="media/image5.png"/><Relationship Id="rId39"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https://website.utc.wa.gov/docs/Pages/howToFile.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png"/><Relationship Id="rId33" Type="http://schemas.openxmlformats.org/officeDocument/2006/relationships/footer" Target="footer8.xml"/><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image" Target="media/image3.png"/><Relationship Id="rId32" Type="http://schemas.openxmlformats.org/officeDocument/2006/relationships/header" Target="header8.xml"/><Relationship Id="rId37" Type="http://schemas.openxmlformats.org/officeDocument/2006/relationships/hyperlink" Target="http://apps.leg.wa.gov/wac/default.aspx?cite=480-110-425"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6.xml"/><Relationship Id="rId36" Type="http://schemas.openxmlformats.org/officeDocument/2006/relationships/hyperlink" Target="http://apps.leg.wa.gov/wac/default.aspx?cite=480-80" TargetMode="External"/><Relationship Id="rId10" Type="http://schemas.openxmlformats.org/officeDocument/2006/relationships/endnotes" Target="endnotes.xml"/><Relationship Id="rId19" Type="http://schemas.openxmlformats.org/officeDocument/2006/relationships/hyperlink" Target="https://www.utc.wa.gov/regulatedIndustries/utilities/Documents/glossary.pdf" TargetMode="Externa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image" Target="media/image6.png"/><Relationship Id="rId30" Type="http://schemas.openxmlformats.org/officeDocument/2006/relationships/header" Target="header7.xml"/><Relationship Id="rId35" Type="http://schemas.openxmlformats.org/officeDocument/2006/relationships/hyperlink" Target="http://apps.leg.wa.gov/wac/default.aspx?cite=480-07-53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ac60ad0-8c60-48d0-b5e5-d503ee04a51f">Publication</Document_x0020_Type>
    <Category xmlns="3ac60ad0-8c60-48d0-b5e5-d503ee04a51f">Water</Category>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83D2BCF01A354DB48FD53085EB3D92" ma:contentTypeVersion="11" ma:contentTypeDescription="Create a new document." ma:contentTypeScope="" ma:versionID="59fe91a3716eb9a3bfd863550e60971c">
  <xsd:schema xmlns:xsd="http://www.w3.org/2001/XMLSchema" xmlns:xs="http://www.w3.org/2001/XMLSchema" xmlns:p="http://schemas.microsoft.com/office/2006/metadata/properties" xmlns:ns1="http://schemas.microsoft.com/sharepoint/v3" xmlns:ns2="3ac60ad0-8c60-48d0-b5e5-d503ee04a51f" targetNamespace="http://schemas.microsoft.com/office/2006/metadata/properties" ma:root="true" ma:fieldsID="0ce4c7d49cd03c30bf5da804bc04258f" ns1:_="" ns2:_="">
    <xsd:import namespace="http://schemas.microsoft.com/sharepoint/v3"/>
    <xsd:import namespace="3ac60ad0-8c60-48d0-b5e5-d503ee04a51f"/>
    <xsd:element name="properties">
      <xsd:complexType>
        <xsd:sequence>
          <xsd:element name="documentManagement">
            <xsd:complexType>
              <xsd:all>
                <xsd:element ref="ns2:Document_x0020_Type"/>
                <xsd:element ref="ns2:Category"/>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c60ad0-8c60-48d0-b5e5-d503ee04a51f" elementFormDefault="qualified">
    <xsd:import namespace="http://schemas.microsoft.com/office/2006/documentManagement/types"/>
    <xsd:import namespace="http://schemas.microsoft.com/office/infopath/2007/PartnerControls"/>
    <xsd:element name="Document_x0020_Type" ma:index="2" ma:displayName="Document Type" ma:format="RadioButtons" ma:internalName="Document_x0020_Type">
      <xsd:simpleType>
        <xsd:restriction base="dms:Choice">
          <xsd:enumeration value="Annual Report Form"/>
          <xsd:enumeration value="Publication"/>
          <xsd:enumeration value="Other Fillable Form"/>
        </xsd:restriction>
      </xsd:simpleType>
    </xsd:element>
    <xsd:element name="Category" ma:index="3" ma:displayName="Category" ma:format="RadioButtons" ma:internalName="Category">
      <xsd:simpleType>
        <xsd:restriction base="dms:Choice">
          <xsd:enumeration value="Energy"/>
          <xsd:enumeration value="Telecommunications"/>
          <xsd:enumeration value="Wat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8A6C0-0464-49B5-AF3C-2BF062140E32}">
  <ds:schemaRefs>
    <ds:schemaRef ds:uri="http://schemas.microsoft.com/office/2006/metadata/properties"/>
    <ds:schemaRef ds:uri="http://schemas.microsoft.com/office/infopath/2007/PartnerControls"/>
    <ds:schemaRef ds:uri="3ac60ad0-8c60-48d0-b5e5-d503ee04a51f"/>
    <ds:schemaRef ds:uri="http://schemas.microsoft.com/sharepoint/v3"/>
  </ds:schemaRefs>
</ds:datastoreItem>
</file>

<file path=customXml/itemProps2.xml><?xml version="1.0" encoding="utf-8"?>
<ds:datastoreItem xmlns:ds="http://schemas.openxmlformats.org/officeDocument/2006/customXml" ds:itemID="{D0066DCF-9D67-46EE-8648-5369929CB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c60ad0-8c60-48d0-b5e5-d503ee04a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16F7DA-52C6-4304-8AF3-34654922DD9C}">
  <ds:schemaRefs>
    <ds:schemaRef ds:uri="http://schemas.microsoft.com/sharepoint/v3/contenttype/forms"/>
  </ds:schemaRefs>
</ds:datastoreItem>
</file>

<file path=customXml/itemProps4.xml><?xml version="1.0" encoding="utf-8"?>
<ds:datastoreItem xmlns:ds="http://schemas.openxmlformats.org/officeDocument/2006/customXml" ds:itemID="{8FCC9727-FA93-4E1C-9A7C-35804FEC6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3573</Words>
  <Characters>20367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GRCW User's Manual July 2013</vt:lpstr>
    </vt:vector>
  </TitlesOfParts>
  <Company>CHM</Company>
  <LinksUpToDate>false</LinksUpToDate>
  <CharactersWithSpaces>23893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GRCW User's Manual - May 2018</dc:title>
  <dc:subject>General Rate Cases</dc:subject>
  <dc:creator>Christopher T. Mickelson</dc:creator>
  <cp:keywords>General Rate Cases Workbook</cp:keywords>
  <cp:lastModifiedBy>Deferia, Virginia (UTC)</cp:lastModifiedBy>
  <cp:revision>2</cp:revision>
  <cp:lastPrinted>2018-01-11T17:21:00Z</cp:lastPrinted>
  <dcterms:created xsi:type="dcterms:W3CDTF">2018-05-23T15:24:00Z</dcterms:created>
  <dcterms:modified xsi:type="dcterms:W3CDTF">2018-05-23T15:24:00Z</dcterms:modified>
  <cp:category>General Rate Cases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0x010100F983D2BCF01A354DB48FD53085EB3D92</vt:lpwstr>
  </property>
  <property fmtid="{D5CDD505-2E9C-101B-9397-08002B2CF9AE}" pid="3" name="Document Type">
    <vt:lpwstr>Publication</vt:lpwstr>
  </property>
</Properties>
</file>